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Hub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Victory Capital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2,207,893.00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2,221,768.00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2,221,768.00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Hub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2001 Hub Group Way Oak Brook, IL 60523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Victory Capital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15935 La Cantera Pkwy San Antonio, TX 78256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New York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2,221,768.00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3.67 %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2,207,893.00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2,221,768.00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65" w:gutter="0" w:footer="0" w:header="0"/>
          <w:type w:val="continuous"/>
        </w:sectPr>
      </w:pPr>
    </w:p>
    <w:p>
      <w:pPr>
        <w:ind w:left="940"/>
        <w:spacing w:after="0" w:line="245"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Victory Capital Management, Inc. is substantially comparable to the regulatory scheme applicable to the functionally equivalent U.S. institution(s). I also undertake to furnish to the Commission staff, upon request, information that would otherwise be disclosed in a Schedule 13D.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65" w:gutter="0" w:footer="0" w:header="0"/>
          <w:type w:val="continuous"/>
        </w:sectPr>
      </w:pPr>
    </w:p>
    <w:bookmarkStart w:id="3" w:name="page4"/>
    <w:bookmarkEnd w:id="3"/>
    <w:p>
      <w:pPr>
        <w:ind w:left="2060"/>
        <w:spacing w:after="0"/>
        <w:rPr>
          <w:sz w:val="20"/>
          <w:szCs w:val="20"/>
          <w:color w:val="auto"/>
        </w:rPr>
      </w:pPr>
      <w:r>
        <w:rPr>
          <w:rFonts w:ascii="Times New Roman" w:cs="Times New Roman" w:eastAsia="Times New Roman" w:hAnsi="Times New Roman"/>
          <w:sz w:val="22"/>
          <w:szCs w:val="22"/>
          <w:color w:val="auto"/>
        </w:rPr>
        <w:t>Victory Capital Management, Inc.</w:t>
      </w:r>
    </w:p>
    <w:p>
      <w:pPr>
        <w:spacing w:after="0" w:line="153"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Sean Fox</w:t>
      </w:r>
    </w:p>
    <w:p>
      <w:pPr>
        <w:spacing w:after="0" w:line="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1"/>
          <w:szCs w:val="21"/>
          <w:color w:val="auto"/>
        </w:rPr>
        <w:t>Name/Title: Chief Compliance Officer</w:t>
      </w:r>
    </w:p>
    <w:p>
      <w:pPr>
        <w:spacing w:after="0" w:line="56"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2026-05-12T08:53:18Z</dcterms:created>
  <dcterms:modified xsi:type="dcterms:W3CDTF">2026-05-12T08:53:18Z</dcterms:modified>
</cp:coreProperties>
</file>