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495d8k.htm"/>
      <w:bookmarkStart w:id="1" w:name="ksd144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HUB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0-27754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36-4007085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2001 Hub Group Way</w:t>
            </w:r>
          </w:p>
          <w:p>
            <w:pPr>
              <w:pStyle w:val="TableContents"/>
              <w:bidi w:val="0"/>
              <w:spacing w:before="0" w:after="20"/>
              <w:jc w:val="center"/>
              <w:rPr>
                <w:rFonts w:ascii="Times New Roman" w:hAnsi="Times New Roman"/>
                <w:b/>
                <w:sz w:val="20"/>
              </w:rPr>
            </w:pPr>
            <w:r>
              <w:rPr>
                <w:rFonts w:ascii="Times New Roman" w:hAnsi="Times New Roman"/>
                <w:b/>
                <w:sz w:val="20"/>
              </w:rPr>
              <w:t>Oak Brook, Illinois 60523</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(630) 271-3600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330"/>
        <w:gridCol w:w="60"/>
        <w:gridCol w:w="740"/>
        <w:gridCol w:w="60"/>
        <w:gridCol w:w="1745"/>
      </w:tblGrid>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330" w:type="dxa"/>
            <w:tcBorders/>
            <w:vAlign w:val="center"/>
          </w:tcPr>
          <w:p>
            <w:pPr>
              <w:pStyle w:val="TableContents"/>
              <w:bidi w:val="0"/>
              <w:spacing w:before="0" w:after="283"/>
              <w:jc w:val="center"/>
              <w:rPr/>
            </w:pPr>
            <w:r>
              <w:rPr/>
              <w:t>Class A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HUBG</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9355" w:type="dxa"/>
        <w:jc w:val="left"/>
        <w:tblInd w:w="0" w:type="dxa"/>
        <w:tblLayout w:type="fixed"/>
        <w:tblCellMar>
          <w:top w:w="0" w:type="dxa"/>
          <w:left w:w="0" w:type="dxa"/>
          <w:bottom w:w="0" w:type="dxa"/>
          <w:right w:w="0" w:type="dxa"/>
        </w:tblCellMar>
      </w:tblPr>
      <w:tblGrid>
        <w:gridCol w:w="1025"/>
        <w:gridCol w:w="8330"/>
      </w:tblGrid>
      <w:tr>
        <w:trPr/>
        <w:tc>
          <w:tcPr>
            <w:tcW w:w="1025" w:type="dxa"/>
            <w:tcBorders/>
            <w:vAlign w:val="center"/>
          </w:tcPr>
          <w:p>
            <w:pPr>
              <w:pStyle w:val="TableContents"/>
              <w:bidi w:val="0"/>
              <w:spacing w:before="0" w:after="283"/>
              <w:jc w:val="left"/>
              <w:rPr>
                <w:b/>
              </w:rPr>
            </w:pPr>
            <w:r>
              <w:rPr>
                <w:b/>
              </w:rPr>
              <w:t>Item 3.01.</w:t>
            </w:r>
          </w:p>
        </w:tc>
        <w:tc>
          <w:tcPr>
            <w:tcW w:w="8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Delisting or Failure to Satisfy a Continued Listing Rule or Standard; Transfer of Listing.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20, 2026, Hub Group, Inc. (the “Company”) received an expected notice (the “Notice”) from the listing qualifications staff of The Nasdaq Stock Market LLC (“Nasdaq”) notifying the Company that, as a result of the Company not having timely filed its Quarterly Report on Form 10-Q for the quarter ended June 30, 2026 (the “Q226 Form 10-Q”), it is not in compliance with Nasdaq Listing Rule 5250(c)(1) (the “Rule”), which requires companies with securities listed on Nasdaq to timely file all required periodic reports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Company being unable to timely file its Form 10-Q for the quarter ended March 31, 2026 (the “Q126 Form 10-Q”), the Company submitted to Nasdaq an updated plan to regain compliance with the Rule, and Nasdaq granted the Company a 180-day exception period, or until September 14, 2026, to file its delinquent Annual Report on Form 10-K for the year ended December 31, 2025 (the “2025 Form 10-K”) and the Q126 Form 10-Q. </w:t>
      </w:r>
    </w:p>
    <w:p>
      <w:pPr>
        <w:pStyle w:val="TextBody"/>
        <w:bidi w:val="0"/>
        <w:spacing w:before="240" w:after="0"/>
        <w:jc w:val="left"/>
        <w:rPr>
          <w:rFonts w:ascii="Times New Roman" w:hAnsi="Times New Roman"/>
          <w:sz w:val="20"/>
        </w:rPr>
      </w:pPr>
      <w:r>
        <w:rPr>
          <w:rFonts w:ascii="Times New Roman" w:hAnsi="Times New Roman"/>
          <w:sz w:val="20"/>
        </w:rPr>
        <w:t xml:space="preserve">The Notice provides that the Company has until August 27, 2026 to submit an updated plan to regain compliance with the Rule, including its plans to file the Q226 Form 10-Q, and that, if granted, any additional exception to allow the Company to regain compliance with all delinquent filings will be limited to a maximum of 180 calendar days from the due date of the 2025 Form 10-K, or September 14, 2026. The Company intends to timely submit to Nasdaq an updated plan to regain compliance with the Rule. </w:t>
      </w:r>
    </w:p>
    <w:p>
      <w:pPr>
        <w:pStyle w:val="TextBody"/>
        <w:bidi w:val="0"/>
        <w:spacing w:before="240" w:after="0"/>
        <w:jc w:val="left"/>
        <w:rPr>
          <w:rFonts w:ascii="Times New Roman" w:hAnsi="Times New Roman"/>
          <w:sz w:val="20"/>
        </w:rPr>
      </w:pPr>
      <w:r>
        <w:rPr>
          <w:rFonts w:ascii="Times New Roman" w:hAnsi="Times New Roman"/>
          <w:sz w:val="20"/>
        </w:rPr>
        <w:t xml:space="preserve">The Notice has no immediate effect on the listing or trading of shares of the Company’s Class A common stock on the Nasdaq Global Select Market.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24, 2026, the Company issued a press release announcing its receipt of the Notice from Nasdaq. The press release is furnished as Exhibit 99.1 to this Current Report on Form 8-K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Item 7.01 of this Current Report on Form 8-K and Exhibit 99.1 attached hereto shall not be deemed to be filed for the purposes of Section 18 of the Securities Exchange Act of 1934, as amended, or otherwise subject to liabilities of that Section or Sections 11 and 12(a)(2) of the Securities Act of 1933, as amended (the “Securities Act”), and shall not be deemed to be incorporated by reference into any registration statement or other document filed pursuant to the Securities Act.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1145"/>
        <w:gridCol w:w="120"/>
        <w:gridCol w:w="7835"/>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8" w:space="0" w:color="000000"/>
            </w:tcBorders>
            <w:tcMar>
              <w:bottom w:w="28" w:type="dxa"/>
            </w:tcMar>
            <w:vAlign w:val="center"/>
          </w:tcPr>
          <w:p>
            <w:pPr>
              <w:pStyle w:val="TableContents"/>
              <w:bidi w:val="0"/>
              <w:spacing w:before="0" w:after="283"/>
              <w:jc w:val="center"/>
              <w:rPr/>
            </w:pPr>
            <w:r>
              <w:rPr/>
              <w:t>Exhibit No.</w:t>
            </w:r>
          </w:p>
        </w:tc>
        <w:tc>
          <w:tcPr>
            <w:tcW w:w="120" w:type="dxa"/>
            <w:tcBorders/>
            <w:vAlign w:val="center"/>
          </w:tcPr>
          <w:p>
            <w:pPr>
              <w:pStyle w:val="TableContents"/>
              <w:bidi w:val="0"/>
              <w:spacing w:before="0" w:after="283"/>
              <w:jc w:val="left"/>
              <w:rPr/>
            </w:pPr>
            <w:r>
              <w:rPr/>
              <w:t>  </w:t>
            </w:r>
          </w:p>
        </w:tc>
        <w:tc>
          <w:tcPr>
            <w:tcW w:w="78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95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d14495dex991.htm">
              <w:r>
                <w:rPr>
                  <w:rStyle w:val="InternetLink"/>
                </w:rPr>
                <w:t xml:space="preserve">Press release issued on August 24, 2026.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795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Current Report on Form 8-K that are not historical facts are forward-looking statements provided pursuant to the safe harbor established under the Private Securities Litigation Reform Act of 1995, including statements regarding the Company’s actions to regain compliance with Nasdaq’s listing rules and any other statements regarding the Company’s future expectations, beliefs, plans, objectives, financial conditions, assumptions or future events or performance that are not historical facts. These forward-looking statements are not guarantees of future performance and involve risks, uncertainties and other factors that might cause the actual performance of the Company to differ materially from those expressed or implied by such forward-looking statements. These risks and uncertainties include, but are not limited to: the Company’s ability to complete the previously-announced restatement of its financial statements; further delays in the financial close process or the related audit of the Company’s consolidated financial statements for the year ended December 31, 2025; and other risks discussed under the “Risk Factors” section in the Company’s most recently filed periodic reports on Form 10-K and Form 10-Q and subsequent filings. These forward-looking statements speak only as of the date hereof, and the Company assumes no obligation to update any such forward-looking statements.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11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407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80" w:type="dxa"/>
            <w:gridSpan w:val="3"/>
            <w:tcBorders/>
            <w:vAlign w:val="center"/>
          </w:tcPr>
          <w:p>
            <w:pPr>
              <w:pStyle w:val="TableContents"/>
              <w:bidi w:val="0"/>
              <w:spacing w:before="0" w:after="283"/>
              <w:jc w:val="left"/>
              <w:rPr>
                <w:b/>
              </w:rPr>
            </w:pPr>
            <w:r>
              <w:rPr>
                <w:b/>
              </w:rPr>
              <w:t>Hub Group, Inc.</w:t>
            </w:r>
          </w:p>
        </w:tc>
      </w:tr>
      <w:tr>
        <w:trPr/>
        <w:tc>
          <w:tcPr>
            <w:tcW w:w="2195" w:type="dxa"/>
            <w:tcBorders/>
            <w:vAlign w:val="center"/>
          </w:tcPr>
          <w:p>
            <w:pPr>
              <w:pStyle w:val="TableContents"/>
              <w:bidi w:val="0"/>
              <w:spacing w:before="0" w:after="283"/>
              <w:jc w:val="left"/>
              <w:rPr/>
            </w:pPr>
            <w:r>
              <w:rPr/>
              <w:t>Date: August 24,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13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A. Braun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Eric A. Braun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Chief Legal Officer and</w:t>
            </w:r>
          </w:p>
          <w:p>
            <w:pPr>
              <w:pStyle w:val="TableContents"/>
              <w:bidi w:val="0"/>
              <w:spacing w:before="0" w:after="20"/>
              <w:jc w:val="left"/>
              <w:rPr>
                <w:rFonts w:ascii="Times New Roman" w:hAnsi="Times New Roman"/>
                <w:sz w:val="20"/>
              </w:rPr>
            </w:pPr>
            <w:r>
              <w:rPr>
                <w:rFonts w:ascii="Times New Roman" w:hAnsi="Times New Roman"/>
                <w:sz w:val="20"/>
              </w:rPr>
              <w:t>Corporate Secretary</w:t>
            </w:r>
          </w:p>
        </w:tc>
      </w:tr>
    </w:tbl>
    <w:p>
      <w:pPr>
        <w:pStyle w:val="TextBody"/>
        <w:bidi w:val="0"/>
        <w:spacing w:before="0" w:after="0"/>
        <w:jc w:val="right"/>
        <w:rPr>
          <w:rFonts w:ascii="Times New Roman" w:hAnsi="Times New Roman"/>
          <w:b/>
          <w:sz w:val="20"/>
        </w:rPr>
      </w:pPr>
      <w:bookmarkStart w:id="2" w:name="d14495dex991.htm"/>
      <w:bookmarkStart w:id="3" w:name="ksd14495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Hub Group Receives Expected Deficiency Notice from Nasdaq related to Delayed Filing of Quarterly Report on Form 10-Q </w:t>
      </w:r>
    </w:p>
    <w:p>
      <w:pPr>
        <w:pStyle w:val="TextBody"/>
        <w:bidi w:val="0"/>
        <w:spacing w:before="240" w:after="0"/>
        <w:jc w:val="left"/>
        <w:rPr>
          <w:rFonts w:ascii="Times New Roman" w:hAnsi="Times New Roman"/>
          <w:sz w:val="20"/>
        </w:rPr>
      </w:pPr>
      <w:r>
        <w:rPr>
          <w:rFonts w:ascii="Times New Roman" w:hAnsi="Times New Roman"/>
          <w:b/>
          <w:sz w:val="20"/>
        </w:rPr>
        <w:t>OAK BROOK, Ill., August 24, 2026</w:t>
      </w:r>
      <w:r>
        <w:rPr>
          <w:rFonts w:ascii="Times New Roman" w:hAnsi="Times New Roman"/>
          <w:sz w:val="20"/>
        </w:rPr>
        <w:t xml:space="preserve"> — Hub Group, Inc. (Nasdaq: HUBG) today announced that on August 20, 2026, as expected, it received a notice indicating that the Company was not in compliance with Nasdaq Listing Rule 5250(c)(1) (the “Listing Rule”) as a result of its failure to timely file its Form 10-Q for the quarter ended June 30, 2026 (the “Form 10-Q”). The Listing Rule requires Nasdaq-listed companies to timely file all required periodic reports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Notice has no immediate effect on the listing or trading of the Company’s common stock on Nasdaq. </w:t>
      </w:r>
    </w:p>
    <w:p>
      <w:pPr>
        <w:pStyle w:val="TextBody"/>
        <w:bidi w:val="0"/>
        <w:spacing w:before="360" w:after="0"/>
        <w:jc w:val="left"/>
        <w:rPr>
          <w:rFonts w:ascii="Times New Roman" w:hAnsi="Times New Roman"/>
          <w:b/>
          <w:sz w:val="20"/>
        </w:rPr>
      </w:pPr>
      <w:r>
        <w:rPr>
          <w:rFonts w:ascii="Times New Roman" w:hAnsi="Times New Roman"/>
          <w:b/>
          <w:sz w:val="20"/>
        </w:rPr>
        <w:t xml:space="preserve">About Hub Group </w:t>
      </w:r>
    </w:p>
    <w:p>
      <w:pPr>
        <w:pStyle w:val="TextBody"/>
        <w:bidi w:val="0"/>
        <w:spacing w:before="120" w:after="0"/>
        <w:jc w:val="left"/>
        <w:rPr>
          <w:rFonts w:ascii="Times New Roman" w:hAnsi="Times New Roman"/>
          <w:sz w:val="20"/>
        </w:rPr>
      </w:pPr>
      <w:r>
        <w:rPr>
          <w:rFonts w:ascii="Times New Roman" w:hAnsi="Times New Roman"/>
          <w:sz w:val="20"/>
        </w:rPr>
        <w:t xml:space="preserve">Hub Group offers comprehensive transportation and logistics management solutions. Keeping our customers’ needs in focus, Hub Group designs, continually optimizes, and applies industry-leading technology to our customers’ supply chains for better service, greater efficiency, and total visibility. As an award-winning, publicly traded company (Nasdaq: HUBG), our approximately 6,000 employees and drivers across the globe are always in pursuit of “The Way Ahead” – a commitment to service, integrity and innovation. For more information, visit hubgroup.com. </w:t>
      </w:r>
    </w:p>
    <w:p>
      <w:pPr>
        <w:pStyle w:val="TextBody"/>
        <w:bidi w:val="0"/>
        <w:spacing w:before="240" w:after="0"/>
        <w:jc w:val="left"/>
        <w:rPr>
          <w:rFonts w:ascii="Times New Roman" w:hAnsi="Times New Roman"/>
          <w:sz w:val="20"/>
        </w:rPr>
      </w:pPr>
      <w:r>
        <w:rPr>
          <w:rFonts w:ascii="Times New Roman" w:hAnsi="Times New Roman"/>
          <w:sz w:val="20"/>
        </w:rPr>
        <w:t xml:space="preserve">CONTACT: Garrett Holland, InvestorRelations@hubgroup.com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1220</Words>
  <Characters>6616</Characters>
  <CharactersWithSpaces>7831</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