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205" w:lineRule="exact"/>
        <w:rPr>
          <w:sz w:val="24"/>
          <w:szCs w:val="24"/>
          <w:color w:val="auto"/>
        </w:rPr>
      </w:pPr>
    </w:p>
    <w:p>
      <w:pPr>
        <w:ind w:left="2080"/>
        <w:spacing w:after="0" w:line="207" w:lineRule="exact"/>
        <w:tabs>
          <w:tab w:leader="none" w:pos="328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10-K </w:t>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 xml:space="preserve">  Form 20-F </w:t>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 xml:space="preserve">  Form 11-K</w:t>
      </w:r>
    </w:p>
    <w:p>
      <w:pPr>
        <w:spacing w:after="0" w:line="63" w:lineRule="exact"/>
        <w:rPr>
          <w:sz w:val="24"/>
          <w:szCs w:val="24"/>
          <w:color w:val="auto"/>
        </w:rPr>
      </w:pPr>
    </w:p>
    <w:p>
      <w:pPr>
        <w:ind w:left="3300"/>
        <w:spacing w:after="0" w:line="207" w:lineRule="exact"/>
        <w:tabs>
          <w:tab w:leader="none" w:pos="4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10-D </w:t>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 xml:space="preserve">  Form N-CEN </w:t>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 xml:space="preserve">  Form N-CSR</w:t>
      </w:r>
    </w:p>
    <w:p>
      <w:pPr>
        <w:spacing w:after="0" w:line="11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Period Ended: March 31, 2026</w:t>
      </w:r>
    </w:p>
    <w:p>
      <w:pPr>
        <w:spacing w:after="0" w:line="7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9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00341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Hub Group,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if Applicable)</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2001 Hub Group Way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Oak Brook, Illinois 60523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(City, State and Zip Code)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right w:val="single" w:sz="8" w:color="auto"/>
            </w:tcBorders>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60" w:type="dxa"/>
            <w:vAlign w:val="bottom"/>
          </w:tcPr>
          <w:p>
            <w:pPr>
              <w:spacing w:after="0"/>
              <w:rPr>
                <w:sz w:val="18"/>
                <w:szCs w:val="18"/>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w:t>
            </w:r>
          </w:p>
        </w:tc>
        <w:tc>
          <w:tcPr>
            <w:tcW w:w="0" w:type="dxa"/>
            <w:vAlign w:val="bottom"/>
          </w:tcPr>
          <w:p>
            <w:pPr>
              <w:spacing w:after="0"/>
              <w:rPr>
                <w:sz w:val="1"/>
                <w:szCs w:val="1"/>
                <w:color w:val="auto"/>
              </w:rPr>
            </w:pPr>
          </w:p>
        </w:tc>
      </w:tr>
      <w:tr>
        <w:trPr>
          <w:trHeight w:val="154"/>
        </w:trPr>
        <w:tc>
          <w:tcPr>
            <w:tcW w:w="360" w:type="dxa"/>
            <w:vAlign w:val="bottom"/>
            <w:tcBorders>
              <w:right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10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transition report on Form 10-Q or subject distribution report on Form 10-D, or portion thereof, will be filed on or before the fifth calendar day</w:t>
            </w:r>
          </w:p>
        </w:tc>
        <w:tc>
          <w:tcPr>
            <w:tcW w:w="0" w:type="dxa"/>
            <w:vAlign w:val="bottom"/>
          </w:tcPr>
          <w:p>
            <w:pPr>
              <w:spacing w:after="0"/>
              <w:rPr>
                <w:sz w:val="1"/>
                <w:szCs w:val="1"/>
                <w:color w:val="auto"/>
              </w:rPr>
            </w:pPr>
          </w:p>
        </w:tc>
      </w:tr>
      <w:tr>
        <w:trPr>
          <w:trHeight w:val="62"/>
        </w:trPr>
        <w:tc>
          <w:tcPr>
            <w:tcW w:w="36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following the prescribed due date; and</w:t>
            </w:r>
          </w:p>
        </w:tc>
        <w:tc>
          <w:tcPr>
            <w:tcW w:w="0" w:type="dxa"/>
            <w:vAlign w:val="bottom"/>
          </w:tcPr>
          <w:p>
            <w:pPr>
              <w:spacing w:after="0"/>
              <w:rPr>
                <w:sz w:val="1"/>
                <w:szCs w:val="1"/>
                <w:color w:val="auto"/>
              </w:rPr>
            </w:pPr>
          </w:p>
        </w:tc>
      </w:tr>
      <w:tr>
        <w:trPr>
          <w:trHeight w:val="234"/>
        </w:trPr>
        <w:tc>
          <w:tcPr>
            <w:tcW w:w="360" w:type="dxa"/>
            <w:vAlign w:val="bottom"/>
            <w:tcBorders>
              <w:right w:val="single" w:sz="8" w:color="auto"/>
            </w:tcBorders>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0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tc>
        <w:tc>
          <w:tcPr>
            <w:tcW w:w="0" w:type="dxa"/>
            <w:vAlign w:val="bottom"/>
          </w:tcPr>
          <w:p>
            <w:pPr>
              <w:spacing w:after="0"/>
              <w:rPr>
                <w:sz w:val="1"/>
                <w:szCs w:val="1"/>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State below in reasonable detail why Forms 10-K, 20-F, 11-K, 10-Q, 10-D, N-CEN, N-CSR, or the transition report or portion thereof, could not be filed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within the prescribed time period.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4"/>
          <w:szCs w:val="24"/>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Hub Group, Inc. (the “Company”) is unable to file its Quarterly Report on Form 10-Q for the quarter ended March 31, 2026 (the “Q1 2026 Form 10-Q”) within the prescribed time period, without unreasonable effort and expense, as a result of the delay in the filing of its Annual Report on Form 10-K for the fiscal year ended December 31, 2025 (the “2025 Form 10-K”). The delay in filing the 2025 Form 10-K has resulted in a corresponding delay in the preparation and completion of the Q1 2026 Form 10-Q.</w:t>
      </w:r>
    </w:p>
    <w:p>
      <w:pPr>
        <w:spacing w:after="0" w:line="180"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is working diligently to complete the restatement of its consolidated financial statements for the years ended December 31, 2024 and 2023 and the quarterly periods ended March 31, 2025, June 30, 2025 and September 30, 2025 and the financial close process and related audit of its consolidated financial statements for the year ended December 31, 2025, each of which must be completed prior to the filing of the 2025 Form 10-K. The Company expects to file the Q1 2026 Form 10-Q as soon as practicable after the filing of the 2025 Form 10-K.</w:t>
      </w:r>
    </w:p>
    <w:p>
      <w:pPr>
        <w:sectPr>
          <w:pgSz w:w="11900" w:h="16882" w:orient="portrait"/>
          <w:cols w:equalWidth="0" w:num="1">
            <w:col w:w="11000"/>
          </w:cols>
          <w:pgMar w:left="440" w:top="376" w:right="459" w:bottom="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PART IV — OTHER INFORMATION</w:t>
            </w:r>
          </w:p>
        </w:tc>
        <w:tc>
          <w:tcPr>
            <w:tcW w:w="3300" w:type="dxa"/>
            <w:vAlign w:val="bottom"/>
          </w:tcPr>
          <w:p>
            <w:pPr>
              <w:spacing w:after="0"/>
              <w:rPr>
                <w:sz w:val="20"/>
                <w:szCs w:val="20"/>
                <w:color w:val="auto"/>
              </w:rPr>
            </w:pPr>
          </w:p>
        </w:tc>
      </w:tr>
      <w:tr>
        <w:trPr>
          <w:trHeight w:val="459"/>
        </w:trPr>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3000" w:type="dxa"/>
            <w:vAlign w:val="bottom"/>
          </w:tcPr>
          <w:p>
            <w:pPr>
              <w:jc w:val="center"/>
              <w:ind w:left="999"/>
              <w:spacing w:after="0"/>
              <w:rPr>
                <w:sz w:val="20"/>
                <w:szCs w:val="20"/>
                <w:color w:val="auto"/>
              </w:rPr>
            </w:pPr>
            <w:r>
              <w:rPr>
                <w:rFonts w:ascii="Times New Roman" w:cs="Times New Roman" w:eastAsia="Times New Roman" w:hAnsi="Times New Roman"/>
                <w:sz w:val="18"/>
                <w:szCs w:val="18"/>
                <w:color w:val="auto"/>
                <w:w w:val="99"/>
              </w:rPr>
              <w:t>Kevin W. Beth</w:t>
            </w:r>
          </w:p>
        </w:tc>
        <w:tc>
          <w:tcPr>
            <w:tcW w:w="960" w:type="dxa"/>
            <w:vAlign w:val="bottom"/>
          </w:tcPr>
          <w:p>
            <w:pPr>
              <w:spacing w:after="0"/>
              <w:rPr>
                <w:sz w:val="24"/>
                <w:szCs w:val="24"/>
                <w:color w:val="auto"/>
              </w:rPr>
            </w:pPr>
          </w:p>
        </w:tc>
        <w:tc>
          <w:tcPr>
            <w:tcW w:w="20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 xml:space="preserve">              (630)       </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00" w:type="dxa"/>
            <w:vAlign w:val="bottom"/>
          </w:tcPr>
          <w:p>
            <w:pPr>
              <w:jc w:val="right"/>
              <w:ind w:right="1559"/>
              <w:spacing w:after="0"/>
              <w:rPr>
                <w:sz w:val="20"/>
                <w:szCs w:val="20"/>
                <w:color w:val="auto"/>
              </w:rPr>
            </w:pPr>
            <w:r>
              <w:rPr>
                <w:rFonts w:ascii="Times New Roman" w:cs="Times New Roman" w:eastAsia="Times New Roman" w:hAnsi="Times New Roman"/>
                <w:sz w:val="18"/>
                <w:szCs w:val="18"/>
                <w:color w:val="auto"/>
              </w:rPr>
              <w:t>271-3600</w:t>
            </w:r>
          </w:p>
        </w:tc>
      </w:tr>
      <w:tr>
        <w:trPr>
          <w:trHeight w:val="182"/>
        </w:trPr>
        <w:tc>
          <w:tcPr>
            <w:tcW w:w="580" w:type="dxa"/>
            <w:vAlign w:val="bottom"/>
          </w:tcPr>
          <w:p>
            <w:pPr>
              <w:spacing w:after="0"/>
              <w:rPr>
                <w:sz w:val="15"/>
                <w:szCs w:val="15"/>
                <w:color w:val="auto"/>
              </w:rPr>
            </w:pPr>
          </w:p>
        </w:tc>
        <w:tc>
          <w:tcPr>
            <w:tcW w:w="3000" w:type="dxa"/>
            <w:vAlign w:val="bottom"/>
            <w:tcBorders>
              <w:top w:val="single" w:sz="8" w:color="auto"/>
            </w:tcBorders>
          </w:tcPr>
          <w:p>
            <w:pPr>
              <w:jc w:val="center"/>
              <w:ind w:left="999"/>
              <w:spacing w:after="0"/>
              <w:rPr>
                <w:sz w:val="20"/>
                <w:szCs w:val="20"/>
                <w:color w:val="auto"/>
              </w:rPr>
            </w:pPr>
            <w:r>
              <w:rPr>
                <w:rFonts w:ascii="Times New Roman" w:cs="Times New Roman" w:eastAsia="Times New Roman" w:hAnsi="Times New Roman"/>
                <w:sz w:val="14"/>
                <w:szCs w:val="14"/>
                <w:color w:val="auto"/>
              </w:rPr>
              <w:t>(Name)</w:t>
            </w: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(Area Code)</w:t>
            </w:r>
          </w:p>
        </w:tc>
        <w:tc>
          <w:tcPr>
            <w:tcW w:w="3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jc w:val="center"/>
              <w:ind w:right="579"/>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50" w:lineRule="exact"/>
        <w:rPr>
          <w:sz w:val="20"/>
          <w:szCs w:val="20"/>
          <w:color w:val="auto"/>
        </w:rPr>
      </w:pPr>
    </w:p>
    <w:p>
      <w:pPr>
        <w:ind w:left="704" w:right="340" w:hanging="704"/>
        <w:spacing w:after="0" w:line="273" w:lineRule="auto"/>
        <w:tabs>
          <w:tab w:leader="none" w:pos="70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704"/>
        <w:spacing w:after="0" w:line="207" w:lineRule="exact"/>
        <w:tabs>
          <w:tab w:leader="none" w:pos="3724" w:val="left"/>
          <w:tab w:leader="none" w:pos="4424" w:val="left"/>
        </w:tabs>
        <w:rPr>
          <w:sz w:val="20"/>
          <w:szCs w:val="20"/>
          <w:color w:val="auto"/>
        </w:rPr>
      </w:pPr>
      <w:r>
        <w:rPr>
          <w:rFonts w:ascii="Times New Roman" w:cs="Times New Roman" w:eastAsia="Times New Roman" w:hAnsi="Times New Roman"/>
          <w:sz w:val="18"/>
          <w:szCs w:val="18"/>
          <w:color w:val="auto"/>
        </w:rPr>
        <w:t>filed? If answer is no, identify report(s). 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2025.</w:t>
      </w:r>
    </w:p>
    <w:p>
      <w:pPr>
        <w:spacing w:after="0" w:line="239"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17145</wp:posOffset>
            </wp:positionV>
            <wp:extent cx="6626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97" w:lineRule="exact"/>
        <w:rPr>
          <w:sz w:val="20"/>
          <w:szCs w:val="20"/>
          <w:color w:val="auto"/>
        </w:rPr>
      </w:pPr>
    </w:p>
    <w:p>
      <w:pPr>
        <w:ind w:left="704" w:hanging="704"/>
        <w:spacing w:after="0"/>
        <w:tabs>
          <w:tab w:leader="none" w:pos="7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w:t>
      </w:r>
    </w:p>
    <w:p>
      <w:pPr>
        <w:spacing w:after="0" w:line="22" w:lineRule="exact"/>
        <w:rPr>
          <w:sz w:val="20"/>
          <w:szCs w:val="20"/>
          <w:color w:val="auto"/>
        </w:rPr>
      </w:pPr>
    </w:p>
    <w:p>
      <w:pPr>
        <w:ind w:left="704"/>
        <w:spacing w:after="0" w:line="207" w:lineRule="exact"/>
        <w:tabs>
          <w:tab w:leader="none" w:pos="6464" w:val="left"/>
          <w:tab w:leader="none" w:pos="7164" w:val="left"/>
        </w:tabs>
        <w:rPr>
          <w:sz w:val="20"/>
          <w:szCs w:val="20"/>
          <w:color w:val="auto"/>
        </w:rPr>
      </w:pPr>
      <w:r>
        <w:rPr>
          <w:rFonts w:ascii="Times New Roman" w:cs="Times New Roman" w:eastAsia="Times New Roman" w:hAnsi="Times New Roman"/>
          <w:sz w:val="18"/>
          <w:szCs w:val="18"/>
          <w:color w:val="auto"/>
        </w:rPr>
        <w:t>the earnings statements to be included in the subject report or portion thereof? 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4" w:lineRule="exact"/>
        <w:rPr>
          <w:sz w:val="20"/>
          <w:szCs w:val="20"/>
          <w:color w:val="auto"/>
        </w:rPr>
      </w:pPr>
    </w:p>
    <w:p>
      <w:pPr>
        <w:ind w:left="704" w:right="80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54" w:lineRule="exact"/>
        <w:rPr>
          <w:sz w:val="20"/>
          <w:szCs w:val="20"/>
          <w:color w:val="auto"/>
        </w:rPr>
      </w:pPr>
    </w:p>
    <w:p>
      <w:pPr>
        <w:ind w:left="704" w:right="320"/>
        <w:spacing w:after="0" w:line="266" w:lineRule="auto"/>
        <w:rPr>
          <w:sz w:val="20"/>
          <w:szCs w:val="20"/>
          <w:color w:val="auto"/>
        </w:rPr>
      </w:pPr>
      <w:r>
        <w:rPr>
          <w:rFonts w:ascii="Times New Roman" w:cs="Times New Roman" w:eastAsia="Times New Roman" w:hAnsi="Times New Roman"/>
          <w:sz w:val="18"/>
          <w:szCs w:val="18"/>
          <w:color w:val="auto"/>
        </w:rPr>
        <w:t>The Company has not completed the restatement of its consolidated financial statements for the quarter ended March 31, 2025 and, accordingly, is currently unable to quantify or provide a reasonable estimate of the changes in its results of operations for the quarter ended March 31, 2026 compared to its results of operations for the 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Concerning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Notification of Late Filing on Form 12b-25 that are not historical facts are forward-looking statements provided pursuant to the safe harbor established under the Private Securities Litigation Reform Act of 1995, including statements regarding the estimated timing of the completion of the restatement of the financial statements referenced herein and the filing of the 2025 Form 10-K and Q1 2026 Form 10-Q and any other statements regarding the Company’s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Company’s ability to complete the restatement of the financial statements referenced herein; the Company’s continuing review of additional accounting issues that may potentially further impact its consolidated financial statements for the periods referenced herein; adjustments that may arise in connection with the Company’s independent registered public accounting firm’s audit of the Company’s consolidated financial statements for the year ended December 31, 2025; further delay in the financial close process or the related audit;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w:t>
      </w:r>
    </w:p>
    <w:p>
      <w:pPr>
        <w:sectPr>
          <w:pgSz w:w="11900" w:h="16838" w:orient="portrait"/>
          <w:cols w:equalWidth="0" w:num="1">
            <w:col w:w="10980"/>
          </w:cols>
          <w:pgMar w:left="440" w:top="266"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Hub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W. Beth</w:t>
            </w:r>
          </w:p>
        </w:tc>
      </w:tr>
      <w:tr>
        <w:trPr>
          <w:trHeight w:val="205"/>
        </w:trPr>
        <w:tc>
          <w:tcPr>
            <w:tcW w:w="332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W. Beth</w:t>
            </w:r>
          </w:p>
        </w:tc>
      </w:tr>
      <w:tr>
        <w:trPr>
          <w:trHeight w:val="234"/>
        </w:trPr>
        <w:tc>
          <w:tcPr>
            <w:tcW w:w="332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2026-05-12T06:11:23Z</dcterms:created>
  <dcterms:modified xsi:type="dcterms:W3CDTF">2026-05-12T06:11:23Z</dcterms:modified>
</cp:coreProperties>
</file>