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74815d8k.htm"/>
      <w:bookmarkStart w:id="1" w:name="ksd57481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HUB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00" w:type="dxa"/>
        <w:jc w:val="left"/>
        <w:tblInd w:w="0" w:type="dxa"/>
        <w:tblLayout w:type="fixed"/>
        <w:tblCellMar>
          <w:top w:w="0" w:type="dxa"/>
          <w:left w:w="0" w:type="dxa"/>
          <w:bottom w:w="0" w:type="dxa"/>
          <w:right w:w="0" w:type="dxa"/>
        </w:tblCellMar>
      </w:tblPr>
      <w:tblGrid>
        <w:gridCol w:w="2720"/>
        <w:gridCol w:w="60"/>
        <w:gridCol w:w="980"/>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0-27754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36-4007085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2001 Hub Group 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Oak Brook,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60523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(630) 271-3600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330"/>
        <w:gridCol w:w="60"/>
        <w:gridCol w:w="740"/>
        <w:gridCol w:w="60"/>
        <w:gridCol w:w="1745"/>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330" w:type="dxa"/>
            <w:tcBorders/>
            <w:vAlign w:val="center"/>
          </w:tcPr>
          <w:p>
            <w:pPr>
              <w:pStyle w:val="TableContents"/>
              <w:bidi w:val="0"/>
              <w:spacing w:before="0" w:after="283"/>
              <w:jc w:val="center"/>
              <w:rPr/>
            </w:pPr>
            <w:r>
              <w:rPr/>
              <w:t>Class A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HUBG</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9355" w:type="dxa"/>
        <w:jc w:val="left"/>
        <w:tblInd w:w="0" w:type="dxa"/>
        <w:tblLayout w:type="fixed"/>
        <w:tblCellMar>
          <w:top w:w="0" w:type="dxa"/>
          <w:left w:w="0" w:type="dxa"/>
          <w:bottom w:w="0" w:type="dxa"/>
          <w:right w:w="0" w:type="dxa"/>
        </w:tblCellMar>
      </w:tblPr>
      <w:tblGrid>
        <w:gridCol w:w="1025"/>
        <w:gridCol w:w="8330"/>
      </w:tblGrid>
      <w:tr>
        <w:trPr/>
        <w:tc>
          <w:tcPr>
            <w:tcW w:w="1025" w:type="dxa"/>
            <w:tcBorders/>
            <w:vAlign w:val="center"/>
          </w:tcPr>
          <w:p>
            <w:pPr>
              <w:pStyle w:val="TableContents"/>
              <w:bidi w:val="0"/>
              <w:spacing w:before="0" w:after="283"/>
              <w:jc w:val="left"/>
              <w:rPr>
                <w:b/>
              </w:rPr>
            </w:pPr>
            <w:r>
              <w:rPr>
                <w:b/>
              </w:rPr>
              <w:t>Item 3.01.</w:t>
            </w:r>
          </w:p>
        </w:tc>
        <w:tc>
          <w:tcPr>
            <w:tcW w:w="8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Delisting or Failure to Satisfy a Continued Listing Rule or Standard; Transfer of Listing.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16, 2026, Hub Group, Inc. (the “Company”) received a Staff Delisting Determination (the “Staff Determination”) from the listing qualifications staff of The Nasdaq Stock Market LLC (“Nasdaq”) notifying the Company that Nasdaq has initiated a process to delist the Company’s Class A common stock as a result of the Company not being in compliance with Nasdaq Listing Rule 5250(c)(1), which requires companies with securities listed on Nasdaq to timely file all required periodic reports with the Securities and Exchange Commission. The Staff Determination was issued because the Company had not filed its Annual Report on Form 10-K for the year ended December 31, 2025 and its Quarterly Reports on Form 10-Q for the periods ended March 31, 2026 and June 30, 2026 by September 14, 2026, which was the last day of the 180-day extension period that had been previously granted by Nasdaq. </w:t>
      </w:r>
    </w:p>
    <w:p>
      <w:pPr>
        <w:pStyle w:val="TextBody"/>
        <w:bidi w:val="0"/>
        <w:spacing w:before="240" w:after="0"/>
        <w:jc w:val="left"/>
        <w:rPr>
          <w:rFonts w:ascii="Times New Roman" w:hAnsi="Times New Roman"/>
          <w:sz w:val="20"/>
        </w:rPr>
      </w:pPr>
      <w:r>
        <w:rPr>
          <w:rFonts w:ascii="Times New Roman" w:hAnsi="Times New Roman"/>
          <w:sz w:val="20"/>
        </w:rPr>
        <w:t xml:space="preserve">The Staff Determination has no immediate effect and will not immediately result in the suspension of trading or delisting of the Company’s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appeal the Staff Determination by timely requesting a hearing before a Nasdaq Hearings Panel (the “Hearings Panel”). Nasdaq’s listing rules provide that the Company’s request for a hearing must be made within seven calendar days of its receipt of the Staff Determination, or by September 23, 2026. According to the Staff Determination, hearings are typically scheduled to occur approximately 30 to 45 days after the date of a company’s hearing request. The hearing request will automatically stay the suspension of trading of the Company’s Class A common stock for a period of 15 days from the date of the request. In connection with its request for a hearing, the Company also intends to request that the suspension be further stayed pending the hearing process. However, there can be no assurance that the Hearings Panel will grant the Company an extended stay pending the hearing process. In the event the Hearings Panel determines not to grant the Company an extended stay, the Company’s Class A common stock would be suspended from trading at the end of the 15-day automatic stay period and would remain suspended unless the Hearings Panel, in its written decision issued after the hearing, determines to reinstate the trading of the Class A common stock.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17, 2026, the Company issued a press release announcing its receipt of the Staff Determination.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Item 7.01 of this Current Report on Form 8-K and Exhibit 99.1 attached hereto shall not be deemed to be filed for the purposes of Section 18 of the Securities Exchange Act of 1934, as amended, or otherwise subject to liabilities of that Section or Sections 11 and 12(a)(2) of the Securities Act of 1933, as amended (the “Securities Act”), and shall not be deemed to be incorporated by reference into any registration statement or other document filed pursuant to the Securities Act.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100" w:type="dxa"/>
        <w:jc w:val="left"/>
        <w:tblInd w:w="0" w:type="dxa"/>
        <w:tblLayout w:type="fixed"/>
        <w:tblCellMar>
          <w:top w:w="0" w:type="dxa"/>
          <w:left w:w="0" w:type="dxa"/>
          <w:bottom w:w="0" w:type="dxa"/>
          <w:right w:w="0" w:type="dxa"/>
        </w:tblCellMar>
      </w:tblPr>
      <w:tblGrid>
        <w:gridCol w:w="1145"/>
        <w:gridCol w:w="120"/>
        <w:gridCol w:w="7835"/>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8" w:space="0" w:color="000000"/>
            </w:tcBorders>
            <w:tcMar>
              <w:bottom w:w="28" w:type="dxa"/>
            </w:tcMar>
            <w:vAlign w:val="center"/>
          </w:tcPr>
          <w:p>
            <w:pPr>
              <w:pStyle w:val="TableContents"/>
              <w:bidi w:val="0"/>
              <w:spacing w:before="0" w:after="283"/>
              <w:jc w:val="center"/>
              <w:rPr/>
            </w:pPr>
            <w:r>
              <w:rPr/>
              <w:t>Exhibit No.</w:t>
            </w:r>
          </w:p>
        </w:tc>
        <w:tc>
          <w:tcPr>
            <w:tcW w:w="120" w:type="dxa"/>
            <w:tcBorders/>
            <w:vAlign w:val="center"/>
          </w:tcPr>
          <w:p>
            <w:pPr>
              <w:pStyle w:val="TableContents"/>
              <w:bidi w:val="0"/>
              <w:spacing w:before="0" w:after="283"/>
              <w:jc w:val="left"/>
              <w:rPr/>
            </w:pPr>
            <w:r>
              <w:rPr/>
              <w:t>  </w:t>
            </w:r>
          </w:p>
        </w:tc>
        <w:tc>
          <w:tcPr>
            <w:tcW w:w="78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hyperlink w:anchor="d574815dex991.htm">
              <w:r>
                <w:rPr>
                  <w:rStyle w:val="InternetLink"/>
                </w:rPr>
                <w:t xml:space="preserve">Press release issued on September 17,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7955"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Current Report on Form 8-K that are not historical facts are forward-looking statements provided pursuant to the safe harbor established under the Private Securities Litigation Reform Act of 1995, including statements regarding the Company’s intended appeal of the Staff Determination and request for a hearing before the Hearings Panel, the Company’s intended request for an extended stay of the suspension of trading of its Class A Common Stock, and any other statements regarding the Company’s future expectations, beliefs, plans, objectives,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financial conditions, assumptions or future events or performance that are not historical facts. These forward-looking statements are not guarantees of future performance and involve risks, uncertainties and other factors that might cause the actual performance of the Company to differ materially from those expressed or implied by such forward-looking statements. These risks and uncertainties include, but are not limited to: the outcome of the Company’s anticipated request to Nasdaq for an extended stay of the delisting action and its appeal of the Staff Determination; the risk that the Hearings Panel will not grant the Company’s request for an extended stay causing the Company’s Class A common stock to be suspended from trading; and other risks discussed under the “Risk Factors” section in the Company’s most recently filed periodic reports on Form 10-K and Form 10-Q and subsequent filings. These forward-looking statements speak only as of the date hereof, and the Company assumes no obligation to update any such forward-looking statements.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348" w:type="dxa"/>
        <w:jc w:val="left"/>
        <w:tblInd w:w="0" w:type="dxa"/>
        <w:tblLayout w:type="fixed"/>
        <w:tblCellMar>
          <w:top w:w="0" w:type="dxa"/>
          <w:left w:w="0" w:type="dxa"/>
          <w:bottom w:w="0" w:type="dxa"/>
          <w:right w:w="0" w:type="dxa"/>
        </w:tblCellMar>
      </w:tblPr>
      <w:tblGrid>
        <w:gridCol w:w="787"/>
        <w:gridCol w:w="1243"/>
        <w:gridCol w:w="478"/>
        <w:gridCol w:w="60"/>
        <w:gridCol w:w="650"/>
        <w:gridCol w:w="60"/>
        <w:gridCol w:w="4070"/>
      </w:tblGrid>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80" w:type="dxa"/>
            <w:gridSpan w:val="3"/>
            <w:tcBorders/>
            <w:vAlign w:val="center"/>
          </w:tcPr>
          <w:p>
            <w:pPr>
              <w:pStyle w:val="TableContents"/>
              <w:bidi w:val="0"/>
              <w:spacing w:before="0" w:after="283"/>
              <w:jc w:val="left"/>
              <w:rPr>
                <w:b/>
              </w:rPr>
            </w:pPr>
            <w:r>
              <w:rPr>
                <w:b/>
              </w:rPr>
              <w:t>Hub Group, Inc.</w:t>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130" w:type="dxa"/>
            <w:gridSpan w:val="2"/>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pPr>
            <w:r>
              <w:rPr/>
              <w:t>Date: September 17, 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721"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130"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A. Braun</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283"/>
              <w:jc w:val="left"/>
              <w:rPr/>
            </w:pPr>
            <w:r>
              <w:rPr/>
              <w:t>Eric A. Braun</w:t>
            </w:r>
          </w:p>
        </w:tc>
      </w:tr>
      <w:tr>
        <w:trPr/>
        <w:tc>
          <w:tcPr>
            <w:tcW w:w="78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Chief Legal Officer and</w:t>
            </w:r>
          </w:p>
          <w:p>
            <w:pPr>
              <w:pStyle w:val="TableContents"/>
              <w:bidi w:val="0"/>
              <w:spacing w:before="0" w:after="20"/>
              <w:jc w:val="left"/>
              <w:rPr>
                <w:rFonts w:ascii="Times New Roman" w:hAnsi="Times New Roman"/>
                <w:sz w:val="20"/>
              </w:rPr>
            </w:pPr>
            <w:r>
              <w:rPr>
                <w:rFonts w:ascii="Times New Roman" w:hAnsi="Times New Roman"/>
                <w:sz w:val="20"/>
              </w:rPr>
              <w:t>Corporate Secretary</w:t>
            </w:r>
          </w:p>
        </w:tc>
      </w:tr>
    </w:tbl>
    <w:p>
      <w:pPr>
        <w:pStyle w:val="TextBody"/>
        <w:bidi w:val="0"/>
        <w:spacing w:before="0" w:after="0"/>
        <w:jc w:val="right"/>
        <w:rPr>
          <w:rFonts w:ascii="Times New Roman" w:hAnsi="Times New Roman"/>
          <w:b/>
          <w:sz w:val="20"/>
        </w:rPr>
      </w:pPr>
      <w:bookmarkStart w:id="2" w:name="d574815dex991.htm"/>
      <w:bookmarkStart w:id="3" w:name="ksd57481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Hub Group Receives Expected Nasdaq Staff Delisting Determination Related to Delayed Filing of Periodic Reports </w:t>
      </w:r>
    </w:p>
    <w:p>
      <w:pPr>
        <w:pStyle w:val="TextBody"/>
        <w:bidi w:val="0"/>
        <w:spacing w:before="240" w:after="0"/>
        <w:jc w:val="left"/>
        <w:rPr>
          <w:rFonts w:ascii="Times New Roman" w:hAnsi="Times New Roman"/>
          <w:sz w:val="20"/>
        </w:rPr>
      </w:pPr>
      <w:r>
        <w:rPr>
          <w:rFonts w:ascii="Times New Roman" w:hAnsi="Times New Roman"/>
          <w:b/>
          <w:sz w:val="20"/>
        </w:rPr>
        <w:t>OAK BROOK, Ill., September</w:t>
      </w:r>
      <w:r>
        <w:rPr>
          <w:rFonts w:ascii="Times New Roman" w:hAnsi="Times New Roman"/>
          <w:sz w:val="20"/>
        </w:rPr>
        <w:t> </w:t>
      </w:r>
      <w:r>
        <w:rPr>
          <w:rFonts w:ascii="Times New Roman" w:hAnsi="Times New Roman"/>
          <w:b/>
          <w:sz w:val="20"/>
        </w:rPr>
        <w:t>17, 2026</w:t>
      </w:r>
      <w:r>
        <w:rPr>
          <w:rFonts w:ascii="Times New Roman" w:hAnsi="Times New Roman"/>
          <w:sz w:val="20"/>
        </w:rPr>
        <w:t xml:space="preserve"> — Hub Group, Inc. (Nasdaq: HUBG) today announced that on September 16, 2026, it received a Staff Delisting Determination (the “Staff Determination”) from the Listing Qualifications Department of The Nasdaq Stock Market LLC (“Nasdaq”), which notified the Company that it has initiated a process to delist its Class A common stock. The Staff Determination was issued because the Company has not filed its Annual Report on Form 10-K for the year ended December 31, 2025 and its Quarterly Reports on Form 10-Q for the periods ended March 31, 2026 and June 30, 2026 (collectively, the “Delinquent Reports”) and therefore is not in compliance with Nasdaq Listing Rule 5250(c)(1). </w:t>
      </w:r>
    </w:p>
    <w:p>
      <w:pPr>
        <w:pStyle w:val="TextBody"/>
        <w:bidi w:val="0"/>
        <w:spacing w:before="240" w:after="0"/>
        <w:jc w:val="left"/>
        <w:rPr>
          <w:rFonts w:ascii="Times New Roman" w:hAnsi="Times New Roman"/>
          <w:sz w:val="20"/>
        </w:rPr>
      </w:pPr>
      <w:r>
        <w:rPr>
          <w:rFonts w:ascii="Times New Roman" w:hAnsi="Times New Roman"/>
          <w:sz w:val="20"/>
        </w:rPr>
        <w:t xml:space="preserve">Receipt of the Staff Determination will not immediately result in the suspension of trading or delisting of the Company’s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appeal the Staff Determination by timely requesting a hearing before the Nasdaq Hearings Panel. The hearing request must be made within seven calendar days from receipt of the determination, or no later than September 23, 2026. Under Nasdaq’s listing rules, the hearing request will automatically stay the delisting action for 15 calendar days from the date of the hearing request. The Company also intends to request a further stay of the delisting action pending completion of the hearing process. According to the Staff Determination, the Nasdaq Hearings Department typically schedules hearings, to the extent practicable, within 30 to 45 days of a company’s hearing request.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present to the Nasdaq Hearings Panel a compelling plan to regain full compliance with Nasdaq’s continued listing requirements. While there can be no assurance, the Company expects its Class A common stock to continue trading on the Nasdaq Global Select Market during the hearing process.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that are not historical facts are forward-looking statements, provided pursuant to the safe harbor established under the Private Securities Litigation Reform Act of 1995, including statements regarding Hub Group’s expectations related to the continued trading of its Class A common stock, the outcome of the Company’s anticipated request to Nasdaq for an extended stay of the delisting action and its appeal to the Nasdaq Hearings Panel, the Company’s plans to regain full compliance with Nasdaq’s continued listing requirements, and any other statements regarding Hub Group’s future expectations, beliefs, plans, objectives, financial conditions, assumptions or future events or performance that are not historical facts.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and involve risks, uncertainties and other factors that might cause the actual performance of Hub Group to differ materially from those expressed or implied by such forward-looking statements. These risks and uncertainties include, but are not limited to: the Company’s ability to complete the previously-announced restatement of its financial statements unanticipated delays that cause the Company’s delinquent periodic reports to be filed later than currently expected; the risk that the Company’s request to Nasdaq for an extended stay of the delisting action will not be granted or that its plan to regain compliance with Nasdaq’s continued listing requirements will not be accepted by the Nasdaq Hearings Panel or, if accepted, will not allow for sufficient time for the Company to regain compliance, and other risks discussed under the “Risk Factors” section in Hub Group’s most recently filed periodic reports on Form 10-K and Form 10-Q and subsequent filings.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speak only as of the date hereof and Hub Group assumes no obligation to update any such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Hub Group </w:t>
      </w:r>
    </w:p>
    <w:p>
      <w:pPr>
        <w:pStyle w:val="TextBody"/>
        <w:bidi w:val="0"/>
        <w:spacing w:before="120" w:after="0"/>
        <w:jc w:val="left"/>
        <w:rPr>
          <w:rFonts w:ascii="Times New Roman" w:hAnsi="Times New Roman"/>
          <w:sz w:val="20"/>
        </w:rPr>
      </w:pPr>
      <w:r>
        <w:rPr>
          <w:rFonts w:ascii="Times New Roman" w:hAnsi="Times New Roman"/>
          <w:sz w:val="20"/>
        </w:rPr>
        <w:t xml:space="preserve">Hub Group offers comprehensive transportation and logistics management solutions. Keeping our customers’ needs in focus, Hub Group designs, continually optimizes, and applies industry-leading technology to our customers’ supply chains for better service, greater efficiency, and total visibility. As an award-winning, publicly traded company (Nasdaq: HUBG), our approximately 6,000 employees and drivers across the globe are always in pursuit of “The Way Ahead” – a commitment to service, integrity and innovation. For more information, visit hubgroup.com. </w:t>
      </w:r>
    </w:p>
    <w:p>
      <w:pPr>
        <w:pStyle w:val="TextBody"/>
        <w:bidi w:val="0"/>
        <w:spacing w:before="240" w:after="0"/>
        <w:jc w:val="left"/>
        <w:rPr>
          <w:rFonts w:ascii="Times New Roman" w:hAnsi="Times New Roman"/>
          <w:sz w:val="20"/>
        </w:rPr>
      </w:pPr>
      <w:r>
        <w:rPr>
          <w:rFonts w:ascii="Times New Roman" w:hAnsi="Times New Roman"/>
          <w:sz w:val="20"/>
        </w:rPr>
        <w:t xml:space="preserve">CONTACT: Garrett Holland, InvestorRelations@hubgroup.com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1848</Words>
  <Characters>10173</Characters>
  <CharactersWithSpaces>12019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