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drawing>
          <wp:anchor behindDoc="0" distT="0" distB="0" distL="0" distR="0" simplePos="0" locked="0" layoutInCell="1" allowOverlap="1" relativeHeight="2">
            <wp:simplePos x="0" y="0"/>
            <wp:positionH relativeFrom="page">
              <wp:posOffset>914400</wp:posOffset>
            </wp:positionH>
            <wp:positionV relativeFrom="page">
              <wp:posOffset>1075055</wp:posOffset>
            </wp:positionV>
            <wp:extent cx="7043420" cy="42545"/>
            <wp:effectExtent l="0" t="0" r="0" b="0"/>
            <wp:wrapNone/>
            <wp:docPr id="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3" descr=""/>
                    <pic:cNvPicPr>
                      <a:picLocks noChangeAspect="1" noChangeArrowheads="1"/>
                    </pic:cNvPicPr>
                  </pic:nvPicPr>
                  <pic:blipFill>
                    <a:blip r:embed="rId2"/>
                    <a:stretch>
                      <a:fillRect/>
                    </a:stretch>
                  </pic:blipFill>
                  <pic:spPr bwMode="auto">
                    <a:xfrm>
                      <a:off x="0" y="0"/>
                      <a:ext cx="7043420" cy="42545"/>
                    </a:xfrm>
                    <a:prstGeom prst="rect">
                      <a:avLst/>
                    </a:prstGeom>
                  </pic:spPr>
                </pic:pic>
              </a:graphicData>
            </a:graphic>
          </wp:anchor>
        </w:drawing>
      </w:r>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3">
                    <w:r>
                      <w:rPr>
                        <w:rStyle w:val="InternetLink"/>
                      </w:rPr>
                      <w:t>Malik Thaddeus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2001 HUB GROUP WAY</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OAK BROOK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60523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10/01/2026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Hub Group, Inc.</w:t>
              </w:r>
            </w:hyperlink>
            <w:r>
              <w:rPr/>
              <w:t xml:space="preserve"> [ </w:t>
            </w:r>
            <w:r>
              <w:rPr>
                <w:rFonts w:ascii="Times;serif" w:hAnsi="Times;serif"/>
                <w:color w:val="0000FF"/>
                <w:sz w:val="24"/>
                <w:shd w:fill="FFFFFF" w:val="clear"/>
              </w:rPr>
              <w:t>HUBG</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EX-24 Power of Attorney signed by Thaddeus J. Malik</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Dirk Andringa,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ind w:left="0" w:right="0" w:hanging="0"/>
        <w:jc w:val="left"/>
        <w:rPr/>
      </w:pPr>
      <w:bookmarkStart w:id="2" w:name="hubg-ex24_poa.htm"/>
      <w:bookmarkStart w:id="3" w:name="kshubgex24_poa"/>
      <w:bookmarkEnd w:id="2"/>
      <w:bookmarkEnd w:id="3"/>
      <w:r>
        <w:rPr/>
        <w:t> </w:t>
      </w:r>
      <w:r>
        <w:br w:type="page"/>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EX-24</w:t>
      </w:r>
    </w:p>
    <w:p>
      <w:pPr>
        <w:pStyle w:val="TextBody"/>
        <w:bidi w:val="0"/>
        <w:jc w:val="center"/>
        <w:rPr>
          <w:rFonts w:ascii="Times New Roman" w:hAnsi="Times New Roman"/>
          <w:b/>
          <w:color w:val="000000"/>
          <w:sz w:val="22"/>
        </w:rPr>
      </w:pPr>
      <w:bookmarkStart w:id="4" w:name="page2"/>
      <w:bookmarkEnd w:id="4"/>
      <w:r>
        <w:rPr>
          <w:rFonts w:ascii="Times New Roman" w:hAnsi="Times New Roman"/>
          <w:b/>
          <w:color w:val="000000"/>
          <w:sz w:val="22"/>
        </w:rPr>
        <w:t>Power of Attorney</w:t>
      </w:r>
    </w:p>
    <w:p>
      <w:pPr>
        <w:pStyle w:val="TextBody"/>
        <w:bidi w:val="0"/>
        <w:ind w:left="0" w:right="60" w:hanging="0"/>
        <w:jc w:val="center"/>
        <w:rPr>
          <w:rFonts w:ascii="Times New Roman" w:hAnsi="Times New Roman"/>
          <w:sz w:val="22"/>
        </w:rPr>
      </w:pPr>
      <w:r>
        <w:rPr>
          <w:rFonts w:ascii="Times New Roman" w:hAnsi="Times New Roman"/>
          <w:b/>
          <w:color w:val="000000"/>
          <w:sz w:val="22"/>
        </w:rPr>
        <w:t>for</w:t>
      </w:r>
      <w:r>
        <w:rPr>
          <w:rFonts w:ascii="Times New Roman" w:hAnsi="Times New Roman"/>
          <w:color w:val="000000"/>
          <w:sz w:val="22"/>
        </w:rPr>
        <w:t xml:space="preserve"> </w:t>
      </w:r>
    </w:p>
    <w:p>
      <w:pPr>
        <w:pStyle w:val="TextBody"/>
        <w:bidi w:val="0"/>
        <w:ind w:left="0" w:right="60" w:hanging="0"/>
        <w:jc w:val="center"/>
        <w:rPr>
          <w:rFonts w:ascii="Times New Roman" w:hAnsi="Times New Roman"/>
          <w:b/>
          <w:color w:val="000000"/>
          <w:sz w:val="22"/>
        </w:rPr>
      </w:pPr>
      <w:r>
        <w:rPr>
          <w:rFonts w:ascii="Times New Roman" w:hAnsi="Times New Roman"/>
          <w:b/>
          <w:color w:val="000000"/>
          <w:sz w:val="22"/>
        </w:rPr>
        <w:t>Executing Forms 3, 4, and 5 Pursuant to Section 16(a) of the Securities Exchange Act</w:t>
      </w:r>
    </w:p>
    <w:p>
      <w:pPr>
        <w:pStyle w:val="TextBody"/>
        <w:bidi w:val="0"/>
        <w:ind w:left="0" w:right="60" w:hanging="0"/>
        <w:jc w:val="left"/>
        <w:rPr/>
      </w:pPr>
      <w:r>
        <w:rPr/>
        <w:t> </w:t>
      </w:r>
    </w:p>
    <w:p>
      <w:pPr>
        <w:pStyle w:val="TextBody"/>
        <w:bidi w:val="0"/>
        <w:ind w:left="380" w:right="0" w:hanging="0"/>
        <w:jc w:val="left"/>
        <w:rPr>
          <w:rFonts w:ascii="Times New Roman" w:hAnsi="Times New Roman"/>
          <w:color w:val="000000"/>
          <w:sz w:val="22"/>
        </w:rPr>
      </w:pPr>
      <w:r>
        <w:rPr>
          <w:rFonts w:ascii="Times New Roman" w:hAnsi="Times New Roman"/>
          <w:color w:val="000000"/>
          <w:sz w:val="22"/>
        </w:rPr>
        <w:t>Know all by these presents, that the undersigned hereby constitutes and appoints each of the Chief Legal Officer (currently Eric A. Braun) of Hub Group, Inc. (the "Company") and his designee, signing singly, as the undersigned's true and lawful attorney-in-fact to:</w:t>
      </w:r>
    </w:p>
    <w:p>
      <w:pPr>
        <w:pStyle w:val="TextBody"/>
        <w:bidi w:val="0"/>
        <w:jc w:val="left"/>
        <w:rPr/>
      </w:pPr>
      <w:r>
        <w:rPr/>
        <w:t> </w:t>
      </w:r>
    </w:p>
    <w:p>
      <w:pPr>
        <w:pStyle w:val="TextBody"/>
        <w:bidi w:val="0"/>
        <w:spacing w:before="0" w:after="0"/>
        <w:ind w:left="1022" w:right="720" w:hanging="0"/>
        <w:jc w:val="left"/>
        <w:rPr>
          <w:rFonts w:ascii="Times New Roman" w:hAnsi="Times New Roman"/>
          <w:color w:val="000000"/>
          <w:sz w:val="22"/>
        </w:rPr>
      </w:pPr>
      <w:r>
        <w:rPr>
          <w:rFonts w:ascii="Times New Roman" w:hAnsi="Times New Roman"/>
          <w:color w:val="000000"/>
          <w:sz w:val="22"/>
        </w:rPr>
        <w:t>1)</w:t>
      </w:r>
    </w:p>
    <w:p>
      <w:pPr>
        <w:pStyle w:val="TextBody"/>
        <w:bidi w:val="0"/>
        <w:jc w:val="left"/>
        <w:rPr>
          <w:rFonts w:ascii="Times New Roman" w:hAnsi="Times New Roman"/>
          <w:color w:val="000000"/>
          <w:sz w:val="22"/>
        </w:rPr>
      </w:pPr>
      <w:r>
        <w:rPr>
          <w:rFonts w:ascii="Times New Roman" w:hAnsi="Times New Roman"/>
          <w:color w:val="000000"/>
          <w:sz w:val="22"/>
        </w:rPr>
        <w:t>execute for and on behalf of the undersigned Forms 3, 4, and 5 and amendments thereto in accordance with Section 16(a) of the Securities Exchange Act of 1934 and the rules thereunder;</w:t>
      </w:r>
    </w:p>
    <w:p>
      <w:pPr>
        <w:pStyle w:val="TextBody"/>
        <w:bidi w:val="0"/>
        <w:jc w:val="left"/>
        <w:rPr/>
      </w:pPr>
      <w:r>
        <w:rPr/>
        <w:t> </w:t>
      </w:r>
    </w:p>
    <w:p>
      <w:pPr>
        <w:pStyle w:val="TextBody"/>
        <w:bidi w:val="0"/>
        <w:spacing w:before="0" w:after="0"/>
        <w:ind w:left="1022" w:right="720" w:hanging="0"/>
        <w:jc w:val="left"/>
        <w:rPr>
          <w:rFonts w:ascii="Times New Roman" w:hAnsi="Times New Roman"/>
          <w:color w:val="000000"/>
          <w:sz w:val="22"/>
        </w:rPr>
      </w:pPr>
      <w:r>
        <w:rPr>
          <w:rFonts w:ascii="Times New Roman" w:hAnsi="Times New Roman"/>
          <w:color w:val="000000"/>
          <w:sz w:val="22"/>
        </w:rPr>
        <w:t>2)</w:t>
      </w:r>
    </w:p>
    <w:p>
      <w:pPr>
        <w:pStyle w:val="TextBody"/>
        <w:bidi w:val="0"/>
        <w:jc w:val="left"/>
        <w:rPr>
          <w:rFonts w:ascii="Times New Roman" w:hAnsi="Times New Roman"/>
          <w:color w:val="000000"/>
          <w:sz w:val="22"/>
        </w:rPr>
      </w:pPr>
      <w:r>
        <w:rPr>
          <w:rFonts w:ascii="Times New Roman" w:hAnsi="Times New Roman"/>
          <w:color w:val="000000"/>
          <w:sz w:val="22"/>
        </w:rPr>
        <w:t>do and perform any and all acts for and on behalf of the undersigned which may be necessary or desirable to complete and execute any such Form 3, 4, or 5 or amendment thereto, and timely file such document with the United States Securities and Exchange Commission and any other authority; and</w:t>
      </w:r>
    </w:p>
    <w:p>
      <w:pPr>
        <w:pStyle w:val="TextBody"/>
        <w:bidi w:val="0"/>
        <w:jc w:val="left"/>
        <w:rPr/>
      </w:pPr>
      <w:r>
        <w:rPr/>
        <w:t> </w:t>
      </w:r>
    </w:p>
    <w:p>
      <w:pPr>
        <w:pStyle w:val="TextBody"/>
        <w:bidi w:val="0"/>
        <w:spacing w:before="0" w:after="0"/>
        <w:ind w:left="1022" w:right="576" w:hanging="0"/>
        <w:jc w:val="left"/>
        <w:rPr>
          <w:rFonts w:ascii="Times New Roman" w:hAnsi="Times New Roman"/>
          <w:color w:val="000000"/>
          <w:sz w:val="22"/>
        </w:rPr>
      </w:pPr>
      <w:r>
        <w:rPr>
          <w:rFonts w:ascii="Times New Roman" w:hAnsi="Times New Roman"/>
          <w:color w:val="000000"/>
          <w:sz w:val="22"/>
        </w:rPr>
        <w:t>3)</w:t>
      </w:r>
    </w:p>
    <w:p>
      <w:pPr>
        <w:pStyle w:val="TextBody"/>
        <w:bidi w:val="0"/>
        <w:jc w:val="left"/>
        <w:rPr>
          <w:rFonts w:ascii="Times New Roman" w:hAnsi="Times New Roman"/>
          <w:color w:val="000000"/>
          <w:sz w:val="22"/>
        </w:rPr>
      </w:pPr>
      <w:r>
        <w:rPr>
          <w:rFonts w:ascii="Times New Roman" w:hAnsi="Times New Roman"/>
          <w:color w:val="000000"/>
          <w:sz w:val="22"/>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jc w:val="left"/>
        <w:rPr/>
      </w:pPr>
      <w:r>
        <w:rPr/>
        <w:t> </w:t>
      </w:r>
    </w:p>
    <w:p>
      <w:pPr>
        <w:pStyle w:val="TextBody"/>
        <w:bidi w:val="0"/>
        <w:ind w:left="360" w:right="539" w:firstLine="664"/>
        <w:jc w:val="left"/>
        <w:rPr>
          <w:rFonts w:ascii="Times New Roman" w:hAnsi="Times New Roman"/>
          <w:color w:val="000000"/>
          <w:sz w:val="22"/>
        </w:rPr>
      </w:pPr>
      <w:r>
        <w:rPr>
          <w:rFonts w:ascii="Times New Roman" w:hAnsi="Times New Roman"/>
          <w:color w:val="000000"/>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pStyle w:val="TextBody"/>
        <w:bidi w:val="0"/>
        <w:jc w:val="left"/>
        <w:rPr/>
      </w:pPr>
      <w:r>
        <w:rPr/>
        <w:t> </w:t>
      </w:r>
    </w:p>
    <w:p>
      <w:pPr>
        <w:pStyle w:val="TextBody"/>
        <w:bidi w:val="0"/>
        <w:ind w:left="360" w:right="719" w:firstLine="647"/>
        <w:jc w:val="left"/>
        <w:rPr>
          <w:rFonts w:ascii="Times New Roman" w:hAnsi="Times New Roman"/>
          <w:color w:val="000000"/>
          <w:sz w:val="22"/>
        </w:rPr>
      </w:pPr>
      <w:r>
        <w:rPr>
          <w:rFonts w:ascii="Times New Roman" w:hAnsi="Times New Roman"/>
          <w:color w:val="000000"/>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jc w:val="left"/>
        <w:rPr/>
      </w:pPr>
      <w:r>
        <w:rPr/>
        <w:t> </w:t>
      </w:r>
    </w:p>
    <w:p>
      <w:pPr>
        <w:pStyle w:val="TextBody"/>
        <w:bidi w:val="0"/>
        <w:spacing w:lineRule="auto" w:line="360"/>
        <w:ind w:left="360" w:right="459" w:firstLine="418"/>
        <w:jc w:val="left"/>
        <w:rPr>
          <w:rFonts w:ascii="Times New Roman" w:hAnsi="Times New Roman"/>
          <w:sz w:val="15"/>
        </w:rPr>
      </w:pPr>
      <w:r>
        <w:rPr>
          <w:rFonts w:ascii="Times New Roman" w:hAnsi="Times New Roman"/>
          <w:color w:val="000000"/>
          <w:sz w:val="22"/>
        </w:rPr>
        <w:t xml:space="preserve">IN WITNESS WHEREOF, the undersigned has caused this Power of Attorney to be executed on this </w:t>
      </w:r>
      <w:r>
        <w:rPr>
          <w:rFonts w:ascii="Times New Roman" w:hAnsi="Times New Roman"/>
          <w:color w:val="000000"/>
          <w:sz w:val="22"/>
          <w:u w:val="single"/>
        </w:rPr>
        <w:t>7</w:t>
      </w:r>
      <w:r>
        <w:rPr>
          <w:rFonts w:ascii="Times New Roman" w:hAnsi="Times New Roman"/>
          <w:color w:val="000000"/>
          <w:sz w:val="15"/>
          <w:u w:val="single"/>
        </w:rPr>
        <w:t>TH</w:t>
      </w:r>
      <w:r>
        <w:rPr>
          <w:rFonts w:ascii="Times New Roman" w:hAnsi="Times New Roman"/>
          <w:color w:val="000000"/>
          <w:sz w:val="15"/>
        </w:rPr>
        <w:t xml:space="preserve"> </w:t>
      </w:r>
      <w:r>
        <w:rPr>
          <w:rFonts w:ascii="Times New Roman" w:hAnsi="Times New Roman"/>
          <w:color w:val="000000"/>
          <w:sz w:val="22"/>
        </w:rPr>
        <w:t>day of October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ind w:left="4120" w:right="0" w:hanging="0"/>
        <w:jc w:val="left"/>
        <w:rPr>
          <w:rFonts w:ascii="Times New Roman" w:hAnsi="Times New Roman"/>
          <w:color w:val="000000"/>
          <w:sz w:val="22"/>
          <w:u w:val="single"/>
        </w:rPr>
      </w:pPr>
      <w:r>
        <w:rPr>
          <w:rFonts w:ascii="Times New Roman" w:hAnsi="Times New Roman"/>
          <w:color w:val="000000"/>
          <w:sz w:val="22"/>
          <w:u w:val="single"/>
        </w:rPr>
        <w:t xml:space="preserve">/s/ Thaddeus J. Malik </w:t>
      </w:r>
    </w:p>
    <w:p>
      <w:pPr>
        <w:pStyle w:val="TextBody"/>
        <w:bidi w:val="0"/>
        <w:ind w:left="4120" w:right="0" w:hanging="0"/>
        <w:jc w:val="left"/>
        <w:rPr>
          <w:rFonts w:ascii="Times New Roman" w:hAnsi="Times New Roman"/>
          <w:color w:val="000000"/>
          <w:sz w:val="22"/>
        </w:rPr>
      </w:pPr>
      <w:bookmarkStart w:id="5" w:name="page3"/>
      <w:bookmarkEnd w:id="5"/>
      <w:r>
        <w:rPr>
          <w:rFonts w:ascii="Times New Roman" w:hAnsi="Times New Roman"/>
          <w:color w:val="000000"/>
          <w:sz w:val="22"/>
        </w:rPr>
        <w:t>Name: Thaddeus J. Malik</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cgi-bin/browse-edgar?action=getcompany&amp;CIK=0001995519" TargetMode="External"/><Relationship Id="rId4" Type="http://schemas.openxmlformats.org/officeDocument/2006/relationships/hyperlink" Target="http://www.sec.gov/cgi-bin/browse-edgar?action=getcompany&amp;CIK=0000940942"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852</Words>
  <Characters>4521</Characters>
  <CharactersWithSpaces>5328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