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269d8k.htm"/>
      <w:bookmarkStart w:id="1" w:name="ksd11826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HUB GROUP,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05" w:type="dxa"/>
        <w:jc w:val="left"/>
        <w:tblInd w:w="0" w:type="dxa"/>
        <w:tblLayout w:type="fixed"/>
        <w:tblCellMar>
          <w:top w:w="0" w:type="dxa"/>
          <w:left w:w="0" w:type="dxa"/>
          <w:bottom w:w="0" w:type="dxa"/>
          <w:right w:w="0" w:type="dxa"/>
        </w:tblCellMar>
      </w:tblPr>
      <w:tblGrid>
        <w:gridCol w:w="2825"/>
        <w:gridCol w:w="60"/>
        <w:gridCol w:w="980"/>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0-27754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36-4007085</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2001 Hub Group Way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Oak Brook,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60523</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(630) 271-3600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4935" w:type="dxa"/>
        <w:jc w:val="left"/>
        <w:tblInd w:w="0" w:type="dxa"/>
        <w:tblLayout w:type="fixed"/>
        <w:tblCellMar>
          <w:top w:w="0" w:type="dxa"/>
          <w:left w:w="0" w:type="dxa"/>
          <w:bottom w:w="0" w:type="dxa"/>
          <w:right w:w="0" w:type="dxa"/>
        </w:tblCellMar>
      </w:tblPr>
      <w:tblGrid>
        <w:gridCol w:w="2330"/>
        <w:gridCol w:w="60"/>
        <w:gridCol w:w="740"/>
        <w:gridCol w:w="60"/>
        <w:gridCol w:w="1745"/>
      </w:tblGrid>
      <w:tr>
        <w:trPr/>
        <w:tc>
          <w:tcPr>
            <w:tcW w:w="2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23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2330" w:type="dxa"/>
            <w:tcBorders/>
            <w:vAlign w:val="center"/>
          </w:tcPr>
          <w:p>
            <w:pPr>
              <w:pStyle w:val="TableContents"/>
              <w:bidi w:val="0"/>
              <w:spacing w:before="0" w:after="283"/>
              <w:jc w:val="center"/>
              <w:rPr/>
            </w:pPr>
            <w:r>
              <w:rPr/>
              <w:t>Class A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HUBG</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NASDAQ</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On October 1, 2026, the DPY Stockholders (as defined below) and certain affiliated trusts holding shares of Class A common stock, par value $0.01 per share (the “</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and Class B common stock, par value $0.01 per share (the “</w:t>
      </w:r>
      <w:r>
        <w:rPr>
          <w:rFonts w:ascii="Times New Roman" w:hAnsi="Times New Roman"/>
          <w:b/>
          <w:i/>
          <w:sz w:val="20"/>
        </w:rPr>
        <w:t>Class</w:t>
      </w:r>
      <w:r>
        <w:rPr>
          <w:rFonts w:ascii="Times New Roman" w:hAnsi="Times New Roman"/>
          <w:sz w:val="20"/>
        </w:rPr>
        <w:t> </w:t>
      </w:r>
      <w:r>
        <w:rPr>
          <w:rFonts w:ascii="Times New Roman" w:hAnsi="Times New Roman"/>
          <w:b/>
          <w:i/>
          <w:sz w:val="20"/>
        </w:rPr>
        <w:t>B Common Stock</w:t>
      </w:r>
      <w:r>
        <w:rPr>
          <w:rFonts w:ascii="Times New Roman" w:hAnsi="Times New Roman"/>
          <w:sz w:val="20"/>
        </w:rPr>
        <w:t>” and together with the Class A Common Stock, the “</w:t>
      </w:r>
      <w:r>
        <w:rPr>
          <w:rFonts w:ascii="Times New Roman" w:hAnsi="Times New Roman"/>
          <w:b/>
          <w:i/>
          <w:sz w:val="20"/>
        </w:rPr>
        <w:t>Common Stock</w:t>
      </w:r>
      <w:r>
        <w:rPr>
          <w:rFonts w:ascii="Times New Roman" w:hAnsi="Times New Roman"/>
          <w:sz w:val="20"/>
        </w:rPr>
        <w:t>”), of Hub Group, Inc. (the “</w:t>
      </w:r>
      <w:r>
        <w:rPr>
          <w:rFonts w:ascii="Times New Roman" w:hAnsi="Times New Roman"/>
          <w:b/>
          <w:i/>
          <w:sz w:val="20"/>
        </w:rPr>
        <w:t>Company</w:t>
      </w:r>
      <w:r>
        <w:rPr>
          <w:rFonts w:ascii="Times New Roman" w:hAnsi="Times New Roman"/>
          <w:sz w:val="20"/>
        </w:rPr>
        <w:t>”), representing a majority of the combined voting power of the outstanding shares of Common Stock, executed an action by written consent (the “</w:t>
      </w:r>
      <w:r>
        <w:rPr>
          <w:rFonts w:ascii="Times New Roman" w:hAnsi="Times New Roman"/>
          <w:b/>
          <w:i/>
          <w:sz w:val="20"/>
        </w:rPr>
        <w:t>DPY Stockholder Consent</w:t>
      </w:r>
      <w:r>
        <w:rPr>
          <w:rFonts w:ascii="Times New Roman" w:hAnsi="Times New Roman"/>
          <w:sz w:val="20"/>
        </w:rPr>
        <w:t>”) pursuant to Section 228 of the Delaware General Corporation Law (the “</w:t>
      </w:r>
      <w:r>
        <w:rPr>
          <w:rFonts w:ascii="Times New Roman" w:hAnsi="Times New Roman"/>
          <w:b/>
          <w:i/>
          <w:sz w:val="20"/>
        </w:rPr>
        <w:t>DGCL</w:t>
      </w:r>
      <w:r>
        <w:rPr>
          <w:rFonts w:ascii="Times New Roman" w:hAnsi="Times New Roman"/>
          <w:sz w:val="20"/>
        </w:rPr>
        <w:t>”), Article II, Section 7 of the Company’s Amended and Restated Bylaws (the “</w:t>
      </w:r>
      <w:r>
        <w:rPr>
          <w:rFonts w:ascii="Times New Roman" w:hAnsi="Times New Roman"/>
          <w:b/>
          <w:i/>
          <w:sz w:val="20"/>
        </w:rPr>
        <w:t>Former Bylaws</w:t>
      </w:r>
      <w:r>
        <w:rPr>
          <w:rFonts w:ascii="Times New Roman" w:hAnsi="Times New Roman"/>
          <w:sz w:val="20"/>
        </w:rPr>
        <w:t>”), and Section 141(k) of the DGCL, to take the following actions: (a) remove Michael Flannery, Peter McNitt, and Gary Yablon as directors of the Company, without cause, (b) amend and restate the Former Bylaws with the Second Amended and Restated Bylaws (as defined below), and (c) appoint Gregory D. Bunch, Thomas P. Fitzgerald, Thaddeus J. Malik, and Thomas M. White as directors of the Company (each, a “</w:t>
      </w:r>
      <w:r>
        <w:rPr>
          <w:rFonts w:ascii="Times New Roman" w:hAnsi="Times New Roman"/>
          <w:b/>
          <w:i/>
          <w:sz w:val="20"/>
        </w:rPr>
        <w:t>New Director</w:t>
      </w:r>
      <w:r>
        <w:rPr>
          <w:rFonts w:ascii="Times New Roman" w:hAnsi="Times New Roman"/>
          <w:sz w:val="20"/>
        </w:rPr>
        <w:t>” and, collectively, the “</w:t>
      </w:r>
      <w:r>
        <w:rPr>
          <w:rFonts w:ascii="Times New Roman" w:hAnsi="Times New Roman"/>
          <w:b/>
          <w:i/>
          <w:sz w:val="20"/>
        </w:rPr>
        <w:t>New Directors</w:t>
      </w:r>
      <w:r>
        <w:rPr>
          <w:rFonts w:ascii="Times New Roman" w:hAnsi="Times New Roman"/>
          <w:sz w:val="20"/>
        </w:rPr>
        <w:t>”), with each of the foregoing actions effective as of October 1, 2026. As used herein, the “</w:t>
      </w:r>
      <w:r>
        <w:rPr>
          <w:rFonts w:ascii="Times New Roman" w:hAnsi="Times New Roman"/>
          <w:b/>
          <w:i/>
          <w:sz w:val="20"/>
        </w:rPr>
        <w:t>DPY Stockholders</w:t>
      </w:r>
      <w:r>
        <w:rPr>
          <w:rFonts w:ascii="Times New Roman" w:hAnsi="Times New Roman"/>
          <w:sz w:val="20"/>
        </w:rPr>
        <w:t>” refers to the parties to that certain DPY Stockholders’ Agreement, dated February 22, 2023 (the “</w:t>
      </w:r>
      <w:r>
        <w:rPr>
          <w:rFonts w:ascii="Times New Roman" w:hAnsi="Times New Roman"/>
          <w:b/>
          <w:i/>
          <w:sz w:val="20"/>
        </w:rPr>
        <w:t>DPY Agreement</w:t>
      </w:r>
      <w:r>
        <w:rPr>
          <w:rFonts w:ascii="Times New Roman" w:hAnsi="Times New Roman"/>
          <w:sz w:val="20"/>
        </w:rPr>
        <w:t>”), by and among (i) the Matthew D. Yeager 2015 GST Trust, (ii) the Laura C. Yeager 2015 GST Trust, (iii) the Phillip D. Yeager 2015 GST Trust, (iv) the David P. Yeager Nonexempt Trust Created Under the Phillip C. Yeager 1994 Trust, (v) David P. Yeager, (vi) Phillip D. Yeager, (vii) Matthew D. Yeager and (viii) Laura Y. Grusecki. The DPY Agreement was previously filed as Exhibit 10.1 to the Company’s Annual Report on Form 10-K filed with the U.S. Securities and Exchange Commission (the “</w:t>
      </w:r>
      <w:r>
        <w:rPr>
          <w:rFonts w:ascii="Times New Roman" w:hAnsi="Times New Roman"/>
          <w:b/>
          <w:i/>
          <w:sz w:val="20"/>
        </w:rPr>
        <w:t>SEC</w:t>
      </w:r>
      <w:r>
        <w:rPr>
          <w:rFonts w:ascii="Times New Roman" w:hAnsi="Times New Roman"/>
          <w:sz w:val="20"/>
        </w:rPr>
        <w:t xml:space="preserve">”) on February 24, 2023 and is incorporated herein by reference. The DPY 2015 Exempt Children’s Trust and the DPY 2020 HUB Exempt Trust, which are not parties to the DPY Agreement, also joined in executing the DPY Stockholder Consent. </w:t>
      </w:r>
    </w:p>
    <w:p>
      <w:pPr>
        <w:pStyle w:val="TextBody"/>
        <w:bidi w:val="0"/>
        <w:spacing w:before="240" w:after="0"/>
        <w:jc w:val="left"/>
        <w:rPr>
          <w:rFonts w:ascii="Times New Roman" w:hAnsi="Times New Roman"/>
          <w:sz w:val="20"/>
        </w:rPr>
      </w:pPr>
      <w:r>
        <w:rPr>
          <w:rFonts w:ascii="Times New Roman" w:hAnsi="Times New Roman"/>
          <w:sz w:val="20"/>
        </w:rPr>
        <w:t xml:space="preserve">The removal of Messrs. Flannery, McNitt, and Yablon was effected by the DPY Stockholder Consent without cause under Section 141(k) of the DGCL and became effective upon delivery to the Secretary of the Company in accordance with Section 228(c) of the DGCL. Pursuant to Section 228(e) of the DGCL and Article II, Section 7 of the Former Bylaws, prompt notice of the actions taken by written consent is being provided to stockholders who are stockholders as of the record date for the actions, who have not consented and who would have been entitled to notice of the meeting if (i) the actions had been taken at a meeting and (ii) the record date for the notice of the meeting were the record date for the actions. The Company hereby transmits a copy of a notice to stockholders pursuant to Section 228(e) of the DGCL. The foregoing description of the notice does not purport to be complete and is qualified in its entirety by reference to the full text of the notice, a copy of which is filed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Each New Director will serve as a director until the Company’s next annual meeting of stockholders or until his earlier death, termination, resignation, or removal. As non-employee directors, each of the New Directors will participate in the Company’s standard non-employee director compensation program, as described in the Company’s proxy statement for the 2025 annual meeting of stockholders filed with the SEC on April 3, 2025. </w:t>
      </w:r>
    </w:p>
    <w:p>
      <w:pPr>
        <w:pStyle w:val="TextBody"/>
        <w:bidi w:val="0"/>
        <w:spacing w:before="240" w:after="0"/>
        <w:jc w:val="left"/>
        <w:rPr>
          <w:rFonts w:ascii="Times New Roman" w:hAnsi="Times New Roman"/>
          <w:sz w:val="20"/>
        </w:rPr>
      </w:pPr>
      <w:r>
        <w:rPr>
          <w:rFonts w:ascii="Times New Roman" w:hAnsi="Times New Roman"/>
          <w:sz w:val="20"/>
        </w:rPr>
        <w:t>Following the delivery of the DPY Stockholder Consent, Mary H. Boosalis, Jenell Ross, and Martin P. Slark resigned from the Board of Directors (the “</w:t>
      </w:r>
      <w:r>
        <w:rPr>
          <w:rFonts w:ascii="Times New Roman" w:hAnsi="Times New Roman"/>
          <w:b/>
          <w:i/>
          <w:sz w:val="20"/>
        </w:rPr>
        <w:t>Board</w:t>
      </w:r>
      <w:r>
        <w:rPr>
          <w:rFonts w:ascii="Times New Roman" w:hAnsi="Times New Roman"/>
          <w:sz w:val="20"/>
        </w:rPr>
        <w:t xml:space="preserve">”), effective October 1,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intends to appoint a new Lead Independent Director as soon as practicable and will also reconstitute its standing committees. The Company intends to take appropriate action to fill the vacancies on the Board resulting from the resignations described above in accordance with the Company’s governing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Gregory D. Bunch </w:t>
      </w:r>
    </w:p>
    <w:p>
      <w:pPr>
        <w:pStyle w:val="TextBody"/>
        <w:bidi w:val="0"/>
        <w:spacing w:before="120" w:after="0"/>
        <w:jc w:val="left"/>
        <w:rPr>
          <w:rFonts w:ascii="Times New Roman" w:hAnsi="Times New Roman"/>
          <w:sz w:val="20"/>
        </w:rPr>
      </w:pPr>
      <w:r>
        <w:rPr>
          <w:rFonts w:ascii="Times New Roman" w:hAnsi="Times New Roman"/>
          <w:sz w:val="20"/>
        </w:rPr>
        <w:t xml:space="preserve">Mr. Bunch, age 67, has served as an Adjunct Professor of Entrepreneurship at the University of Chicago Booth School of Business for nearly twenty (20) years, teaching entrepreneurship, growth strategy, competitive strategy, innovation, marketing, and mergers and acquisitions in both the MBA program and Executive Education. He is also the owner of Gregory Bunch Consulting, a management consulting firm. Mr. Bunch was the founder and Chief Executive Officer of Masterplan International Corporation, a strategy consultancy, from 1998 to 2018, and co-founded Oration Health, a healthcare software-as-a-service business. He was also a partner in Brandtrust, a brand strategy consultancy. Over the course of his career, he has advised hundreds of startups and dozens of publicly and privately held corporations, and has served as an Independent Trustee of Elkhorn Investments from its founding until its sale to Innovator, as well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on advisory boards for companies in the financial services, consulting, retail, franchising and marketing industries. Mr. Bunch has lectured nationally and internationally on topics related to strategy, creating customers and innovation. He earned a bachelor’s degree in philosophy from Wheaton College and an MDiv from Harvard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Thomas P. Fitzgerald </w:t>
      </w:r>
    </w:p>
    <w:p>
      <w:pPr>
        <w:pStyle w:val="TextBody"/>
        <w:bidi w:val="0"/>
        <w:spacing w:before="120" w:after="0"/>
        <w:jc w:val="left"/>
        <w:rPr>
          <w:rFonts w:ascii="Times New Roman" w:hAnsi="Times New Roman"/>
          <w:sz w:val="20"/>
        </w:rPr>
      </w:pPr>
      <w:r>
        <w:rPr>
          <w:rFonts w:ascii="Times New Roman" w:hAnsi="Times New Roman"/>
          <w:sz w:val="20"/>
        </w:rPr>
        <w:t xml:space="preserve">Mr. Fitzgerald, age 72, was a partner at Winston Taylor LLP (formerly known as Winston &amp; Strawn LLP), an international law firm. From 2006 to June 2024, Mr. Fitzgerald served as Chairman and Managing Partner of the firm’s Executive Committee. Under his leadership, the firm opened ten (10) offices on three continents and significantly expanded its practice and sector offerings, including in private equity, finance, funds, intellectual property, complex commercial litigation and real estate. Over the course of his tenure, Mr. Fitzgerald also advanced the firm’s client initiatives in the financial services, technology, energy, and life sciences sectors. Mr. Fitzgerald holds a B.A. from the University of Notre Dame and a J.D., with honors, from the Notre Dame Law School. </w:t>
      </w:r>
    </w:p>
    <w:p>
      <w:pPr>
        <w:pStyle w:val="TextBody"/>
        <w:bidi w:val="0"/>
        <w:spacing w:before="240" w:after="0"/>
        <w:jc w:val="left"/>
        <w:rPr>
          <w:rFonts w:ascii="Times New Roman" w:hAnsi="Times New Roman"/>
          <w:sz w:val="20"/>
        </w:rPr>
      </w:pPr>
      <w:r>
        <w:rPr>
          <w:rFonts w:ascii="Times New Roman" w:hAnsi="Times New Roman"/>
          <w:sz w:val="20"/>
        </w:rPr>
        <w:t xml:space="preserve">Mr. Fitzgerald retired as a partner of Winston Taylor LLP, effective January 31, 2025. Winston Taylor LLP has provided legal services to the Company, and during the fiscal year ended December 31, 2025, the Company paid Winston Taylor LLP approximately $500,000 in fees for legal services provided in 2025. Although Mr. Fitzgerald has not been a partner of Winston Taylor LLP since January 31, 2025, this relationship is disclosed pursuant to Item 404(a) of Regulation S-K, because he was a partner of the firm during a portion of the Company’s last fiscal year. Other than as described above, there are no transactions in which Mr. Fitzgerald has an interest requiring disclosure under Item 404(a)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Thaddeus J. Malik </w:t>
      </w:r>
    </w:p>
    <w:p>
      <w:pPr>
        <w:pStyle w:val="TextBody"/>
        <w:bidi w:val="0"/>
        <w:spacing w:before="120" w:after="0"/>
        <w:jc w:val="left"/>
        <w:rPr>
          <w:rFonts w:ascii="Times New Roman" w:hAnsi="Times New Roman"/>
          <w:sz w:val="20"/>
        </w:rPr>
      </w:pPr>
      <w:r>
        <w:rPr>
          <w:rFonts w:ascii="Times New Roman" w:hAnsi="Times New Roman"/>
          <w:sz w:val="20"/>
        </w:rPr>
        <w:t xml:space="preserve">Mr. Malik, age 59, has served as President and Principal of S2T Solutions LLC, a transactional advisory services company, since 2022. Previously, he was a partner at Paul Hastings LLP, an international law firm, from 2010 to 2022, a partner at Jenner &amp; Block LLP from 2002 to 2010, and Vice President and General Counsel of Lante Corporation, a formerly publicly traded technology consulting company, from 2000 to 2002. Mr. Malik has more than thirty (30) years of experience as a corporate and securities advisor to boards and committees of public companies and as a mergers and acquisitions attorney. He has served as an independent director of CenterPoint Energy, Inc. since September 2023, where he currently serves on the Corporate Governance and Nominating Committee and the Human Capital and Compensation Committee and previously served on the Audit and Compliance Committee and the Safety and Operations Committee. He also served as an independent director of Health Care Service Corporation, the parent of Blue Cross and Blue Shield of Illinois, Texas, Montana, Oklahoma and New Mexico, from 2019 to 2025. Mr. Malik holds a B.A. from Northwestern University and a J.D. from Harvard Law School, and has earned director certifications from the National Association of Corporate Directors and Harvard Business School, as well as the CERT Certificate in Cybersecurity Oversight from the Carnegie Mellon University Software Engineering Institute. </w:t>
      </w:r>
    </w:p>
    <w:p>
      <w:pPr>
        <w:pStyle w:val="TextBody"/>
        <w:bidi w:val="0"/>
        <w:spacing w:before="360" w:after="0"/>
        <w:jc w:val="left"/>
        <w:rPr>
          <w:rFonts w:ascii="Times New Roman" w:hAnsi="Times New Roman"/>
          <w:b/>
          <w:sz w:val="20"/>
        </w:rPr>
      </w:pPr>
      <w:r>
        <w:rPr>
          <w:rFonts w:ascii="Times New Roman" w:hAnsi="Times New Roman"/>
          <w:b/>
          <w:sz w:val="20"/>
        </w:rPr>
        <w:t xml:space="preserve">Thomas M. White </w:t>
      </w:r>
    </w:p>
    <w:p>
      <w:pPr>
        <w:pStyle w:val="TextBody"/>
        <w:bidi w:val="0"/>
        <w:spacing w:before="120" w:after="0"/>
        <w:jc w:val="left"/>
        <w:rPr>
          <w:rFonts w:ascii="Times New Roman" w:hAnsi="Times New Roman"/>
          <w:sz w:val="20"/>
        </w:rPr>
      </w:pPr>
      <w:r>
        <w:rPr>
          <w:rFonts w:ascii="Times New Roman" w:hAnsi="Times New Roman"/>
          <w:sz w:val="20"/>
        </w:rPr>
        <w:t xml:space="preserve">Mr. White, age 69, is a global business leader and experienced board member with over forty-five (45) years of experience in financial and operational management. Mr. White previously served as the Company’s Chief Financial Officer and Senior Vice President from 2002 to 2007. From 2007 to 2014, he served as an Operating Partner of Apollo Global Management, Inc., a leading global alternative investment manager, where he assumed senior leadership positions in key portfolio companies, including as Interim Chief Operating Officer and Interim Chief Financial Officer of CEVA Logistics and Interim Chief Financial Officer of Constellium N.V. Previously, Mr. White served for twenty-three (23) years at Arthur Andersen LLP, where he held leadership positions, including Global Managing Partner of Business Process Outsourcing and Office Managing Partner. Mr. White served as Chairman of the Board of Directors of Sterling Infrastructure, Inc. from 2019 to 2024, and has served as a member of the board of directors of JPW Industries, a private industrial machinery company. Mr. White holds a B.B.A. in Accountancy from Western Michigan University and an M.S. in Business Administration from Purdue University.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between any of the New Directors and any former or current officers or directors of the Company, and, except as described above, no New Director has any direct or indirect material interest in any transaction required to be disclosed pursuant to Item 404(a) of Regulation S-K. There are no arrangements or understandings between any New Director and any other persons or entities pursuant to which any New Director was appointed as a director of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is a “controlled company” within the meaning of Nasdaq Listing Rule 5615(c), because the DPY Stockholders hold more than 50% of the combined voting power of the Common Stock. Accordingly, the Company is not required to comply with certain corporate governance requirements applicable to Nasdaq listed companies. However, the Company does not intend to rely on the exemptions made available under Nasdaq Listing Rule 5615(c), and intends to maintain a majority of the Board consisting of independent directors, a Compensation Committee composed entirely of independent directors, and a Nominating and Governance Committee composed entirely of independent directors. The controlled company exemption would not modify the independence requirement for the Audit Committee, and the Company will continue to comply with the audit committee requirements of Nasdaq Rule 5605(c) and Rule 10A-3 under the Securities Exchange Act of 1934, as amended (the “</w:t>
      </w:r>
      <w:r>
        <w:rPr>
          <w:rFonts w:ascii="Times New Roman" w:hAnsi="Times New Roman"/>
          <w:b/>
          <w:i/>
          <w:sz w:val="20"/>
        </w:rPr>
        <w:t>Exchange Act</w:t>
      </w:r>
      <w:r>
        <w:rPr>
          <w:rFonts w:ascii="Times New Roman" w:hAnsi="Times New Roman"/>
          <w:sz w:val="20"/>
        </w:rPr>
        <w:t xml:space="preserve">”). </w:t>
      </w:r>
    </w:p>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1025"/>
        <w:gridCol w:w="6470"/>
      </w:tblGrid>
      <w:tr>
        <w:trPr/>
        <w:tc>
          <w:tcPr>
            <w:tcW w:w="102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On October 1, 2026, the DPY Stockholders, by the DPY Stockholder Consent, adopted the Second Amended and Restated Bylaws of the Company, effective as of October 1, 2026 (the “</w:t>
      </w:r>
      <w:r>
        <w:rPr>
          <w:rFonts w:ascii="Times New Roman" w:hAnsi="Times New Roman"/>
          <w:b/>
          <w:i/>
          <w:sz w:val="20"/>
        </w:rPr>
        <w:t>Second Amended and Restated Bylaws</w:t>
      </w:r>
      <w:r>
        <w:rPr>
          <w:rFonts w:ascii="Times New Roman" w:hAnsi="Times New Roman"/>
          <w:sz w:val="20"/>
        </w:rPr>
        <w:t xml:space="preserve">”). The amendments to the Second Amended and Restated Bylaws include, among other things,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any election by stockholders of directors other than in a contested election, directors shall be elected by a majority of the votes cast by the shares represented in person or by proxy and entitled to vote;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vacancy on the Board, however occurring, and any newly created directorship resulting from any increase in the number of directors shall be filled exclusively by the affirmative vote of the holders of shares of capital stock representing a majority of the votes entitled to vote in the election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amendments to the Second Amended and Restated Bylaws does not purport to be complete and is qualified in its entirety by reference to the full text of the Second Amended and Restated Bylaws, a copy of which is filed as Exhibit 3.1 to this Current Report on Form 8-K and is incorporated herein by reference. </w:t>
      </w:r>
    </w:p>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 2026, the DPY Stockholders and certain affiliated trusts, holding shares of Common Stock representing a majority of the combined voting power of the outstanding shares of Common Stock, authorized and approved by written consent in accordance with Section 228 of the DGCL: (a) the removal of Michael Flannery, Peter McNitt, and Gary Yablon as directors of the Company, without cause, (b) the amendment and restatement of the Former Bylaws with the Second Amended and Restated Bylaws, and (c) the appointment of Gregory D. Bunch, Thomas P. Fitzgerald, Thaddeus J. Malik, and Thomas M. White as directors of the Company, with each of the foregoing actions effective as of October 1, 2026.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October 2, 2026, the Company issued a press release (the “</w:t>
      </w:r>
      <w:r>
        <w:rPr>
          <w:rFonts w:ascii="Times New Roman" w:hAnsi="Times New Roman"/>
          <w:b/>
          <w:i/>
          <w:sz w:val="20"/>
        </w:rPr>
        <w:t>Press Release</w:t>
      </w:r>
      <w:r>
        <w:rPr>
          <w:rFonts w:ascii="Times New Roman" w:hAnsi="Times New Roman"/>
          <w:sz w:val="20"/>
        </w:rPr>
        <w:t xml:space="preserve">”) in connection with the receipt of the DPY Stockholder Consent and related updates. A copy of the Press Release is furnished as Exhibit 99.2 to this Current Report on Form 8-K and is incorporated herein by reference into this Item 7.01.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99.2 attached hereto, is being furnished and shall not be deemed “filed” for purposes of Section 18 of the Exchange Act, or otherwise subject to the liabilities of that section, nor shall it be deemed incorporated by reference into any filing under the Securities Act of 1933, as amended, or the Exchange Act, except as expressly set forth by specific reference in such filing. </w:t>
      </w:r>
    </w:p>
    <w:p>
      <w:pPr>
        <w:pStyle w:val="TextBody"/>
        <w:bidi w:val="0"/>
        <w:spacing w:before="0" w:after="0"/>
        <w:jc w:val="left"/>
        <w:rPr/>
      </w:pPr>
      <w:r>
        <w:rPr/>
        <w:t>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18269dex31.htm">
              <w:r>
                <w:rPr>
                  <w:rStyle w:val="InternetLink"/>
                </w:rPr>
                <w:t xml:space="preserve">Second Amended and Restated Bylaws of Hub Group, Inc., effective as of October 1,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18269dex991.htm">
              <w:r>
                <w:rPr>
                  <w:rStyle w:val="InternetLink"/>
                </w:rPr>
                <w:t xml:space="preserve">Notice to Certain Stockholders Under Section 228(e) of the Delaware General Corporation Law, dated October 2,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18269dex992.htm">
              <w:r>
                <w:rPr>
                  <w:rStyle w:val="InternetLink"/>
                </w:rPr>
                <w:t xml:space="preserve">Press Release, dated October 2,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843" w:type="dxa"/>
        <w:jc w:val="left"/>
        <w:tblInd w:w="0" w:type="dxa"/>
        <w:tblLayout w:type="fixed"/>
        <w:tblCellMar>
          <w:top w:w="0" w:type="dxa"/>
          <w:left w:w="0" w:type="dxa"/>
          <w:bottom w:w="0" w:type="dxa"/>
          <w:right w:w="0" w:type="dxa"/>
        </w:tblCellMar>
      </w:tblPr>
      <w:tblGrid>
        <w:gridCol w:w="2150"/>
        <w:gridCol w:w="60"/>
        <w:gridCol w:w="23"/>
        <w:gridCol w:w="60"/>
        <w:gridCol w:w="365"/>
        <w:gridCol w:w="60"/>
        <w:gridCol w:w="6125"/>
      </w:tblGrid>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2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b/>
              </w:rPr>
            </w:pPr>
            <w:r>
              <w:rPr>
                <w:b/>
              </w:rPr>
              <w:t>Hub Group, Inc.</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185" w:type="dxa"/>
            <w:gridSpan w:val="2"/>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Date: October 2,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Yeager</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David P. Yeager</w:t>
            </w:r>
          </w:p>
        </w:tc>
      </w:tr>
      <w:tr>
        <w:trPr/>
        <w:tc>
          <w:tcPr>
            <w:tcW w:w="2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Chairman of the Board of Directors and Chief Executive Officer</w:t>
            </w:r>
          </w:p>
        </w:tc>
      </w:tr>
    </w:tbl>
    <w:p>
      <w:pPr>
        <w:pStyle w:val="TextBody"/>
        <w:bidi w:val="0"/>
        <w:spacing w:before="0" w:after="0"/>
        <w:jc w:val="right"/>
        <w:rPr>
          <w:rFonts w:ascii="Times New Roman" w:hAnsi="Times New Roman"/>
          <w:b/>
          <w:sz w:val="20"/>
        </w:rPr>
      </w:pPr>
      <w:bookmarkStart w:id="2" w:name="d118269dex31.htm"/>
      <w:bookmarkStart w:id="3" w:name="ksd118269dex31"/>
      <w:bookmarkEnd w:id="2"/>
      <w:bookmarkEnd w:id="3"/>
      <w:r>
        <w:rPr>
          <w:rFonts w:ascii="Times New Roman" w:hAnsi="Times New Roman"/>
          <w:b/>
          <w:sz w:val="20"/>
        </w:rPr>
        <w:t xml:space="preserve">Exhibit 3.1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BYLAWS OF HUB GROUP, INC </w:t>
      </w:r>
    </w:p>
    <w:p>
      <w:pPr>
        <w:pStyle w:val="TextBody"/>
        <w:bidi w:val="0"/>
        <w:spacing w:before="24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1. The registered office of the Corporation shall be in the City of Wilmington, County of New Castle, State of Delaware. The Corporation may also have offices at such other places both within and without the State of Delaware as the Board of Directors may from time to time determine or the business of the Corporation may require.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Time and Place of Meetings.</w:t>
      </w:r>
      <w:r>
        <w:rPr>
          <w:rFonts w:ascii="Times New Roman" w:hAnsi="Times New Roman"/>
          <w:sz w:val="20"/>
        </w:rPr>
        <w:t xml:space="preserve"> All meetings of the stockholders for the election of directors or for any other purpose shall be held at such time and place, within or without the State of Delaware, as shall be designated by the Board of Directors. In the absence of a designation of a place for any such meeting by the Board of Directors, each such meeting shall be held at the principal office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Annual Meetings.</w:t>
      </w:r>
      <w:r>
        <w:rPr>
          <w:rFonts w:ascii="Times New Roman" w:hAnsi="Times New Roman"/>
          <w:sz w:val="20"/>
        </w:rPr>
        <w:t xml:space="preserve"> An annual meeting of stockholders shall be held for the purpose of electing directors and transacting such other business as may properly be brought before the meeting. The date of the annual meeting shall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Special Meetings.</w:t>
      </w:r>
      <w:r>
        <w:rPr>
          <w:rFonts w:ascii="Times New Roman" w:hAnsi="Times New Roman"/>
          <w:sz w:val="20"/>
        </w:rPr>
        <w:t xml:space="preserve"> Special meetings of the stockholders, for any purpose or purposes, unless otherwise prescribed by law, shall be called in the manner prescribed in the Corporation’s Certificate of Incorporation (as the same may be amended from time to time,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Notice of Meetings.</w:t>
      </w:r>
      <w:r>
        <w:rPr>
          <w:rFonts w:ascii="Times New Roman" w:hAnsi="Times New Roman"/>
          <w:sz w:val="20"/>
        </w:rPr>
        <w:t xml:space="preserve"> Written notice of each meeting of the stockholders stating the place, date and time of the meeting shall be given not less than ten nor more than sixty days before the date of the meeting, to each stockholder entitled to vote at such meeting. The notice of any special meeting of stockholders shall state the purpose or purposes for which the meeting is called. Business transacted at any special meeting of stockholders shall be limited to the purposes stated in the notice. Neither the business to be transacted at, nor the purpose of, an annual or special meeting of stockholders need be specified in any written waiver of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Quorum; Adjournment.</w:t>
      </w:r>
      <w:r>
        <w:rPr>
          <w:rFonts w:ascii="Times New Roman" w:hAnsi="Times New Roman"/>
          <w:sz w:val="20"/>
        </w:rPr>
        <w:t xml:space="preserve"> The holders of one third (1/3) of the shares of capital stock entitled to vote at the meeting, present in person or represented by proxy, shall constitute a quorum at such meeting of the stockholders for the transaction of business, except as otherwise required by these Bylaws, the Certificate of Incorporation or the Delaware General Corporation Law as from time to time in effect (the “Delaware Law”). If a quorum is not represented, the holders of the stock present in person or represented by proxy at the meeting and entitled to vote thereat shall have power, by a majority of the votes cast by shares represented in person or by proxy, to adjourn the meeting to another time and/or place, without notice other than announcement at the meeting, except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hereinafter provided, until a quorum shall be present or represented.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 Withdrawal of stockholders from any meeting shall not cause the failure of a duly constituted quorum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Voting.</w:t>
      </w:r>
      <w:r>
        <w:rPr>
          <w:rFonts w:ascii="Times New Roman" w:hAnsi="Times New Roman"/>
          <w:sz w:val="20"/>
        </w:rPr>
        <w:t xml:space="preserve"> At all meetings of the stockholders, each stockholder shall be entitled to vote, in person, or by proxy appointed in an instrument in writing subscribed by the stockholder or otherwise appointed in accordance with Section 212 of the Delaware Law, each share of voting stock owned by such stockholder of record on the record date for the meeting. Each issued and outstanding share of Class A Common Stock shall entitle the holder thereof to one (1) vote on all matters and each issued and outstanding share of Class B Common Stock shall entitle the holder thereof to the number of votes set forth in Article Fourth Section 4 of the Certificate of Incorporation on all matters, unless otherwise provided in the Delaware Law or the Certificate of Incorporation. When a quorum is present, other than the election of directors, an action to be taken by vote of the stockholders shall be authorized by a majority of the votes cast by shares represented in person or by proxy and entitled to vote at such meeting, unless a greater or additional vote is required by the Delaware Law, the Certificate of Incorporation or these Bylaws. When a quorum is present, in any election by stockholders of directors other than in a contested election, directors shall be elected by a majority of the votes cast by the shares represented in person or by proxy and entitled to vote on the election of directors at such meeting. In a contested election, (i) the directors shall be elected by a plurality of the votes cast at a meeting of stockholders by the holders of stock entitled to vote in such election, and (ii) stockholders shall not be permitted to vote against a nominee. An election shall be considered contested if, as of the tenth (10th) day preceding the date on which the Corporation first mails its notice of meeting for such meeting to the stockholders of the Corporation, there are more nominees for election than directorships on the Board to be filled by election at the meeting. Neither abstentions nor broker non-votes shall be counted as votes cast for or against a proposal or the election of any director. The Corporation shall, in advance of any meeting of stockholders, appoint one or more inspectors to act at the meeting and make a written report thereof, in accordance with Delaware Law.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Informal Action by Stockholders</w:t>
      </w:r>
      <w:r>
        <w:rPr>
          <w:rFonts w:ascii="Times New Roman" w:hAnsi="Times New Roman"/>
          <w:sz w:val="20"/>
        </w:rPr>
        <w:t xml:space="preserve">. Any action required to be taken at a meeting of the stockholders, or any other action which may be taken at a meeting of the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Advisory Stockholder Votes</w:t>
      </w:r>
      <w:r>
        <w:rPr>
          <w:rFonts w:ascii="Times New Roman" w:hAnsi="Times New Roman"/>
          <w:sz w:val="20"/>
        </w:rPr>
        <w:t xml:space="preserve">. In order for stockholders to adopt or approve any precatory proposal submitted to them for the purpose of requesting the Board of Directors to take certain actions, the affirmative vote of the holders of shares of capital stock having at least a majority of the vote which could be cast by the holders of all shares of capital stock entitled to vote thereupon, voting as a single class, must be voted in favor of the proposal in accordance with Section 6 of this Article II.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General Powers.</w:t>
      </w:r>
      <w:r>
        <w:rPr>
          <w:rFonts w:ascii="Times New Roman" w:hAnsi="Times New Roman"/>
          <w:sz w:val="20"/>
        </w:rPr>
        <w:t xml:space="preserve"> The business and affairs of the Corporation shall be managed and controlled by or under the direction of its Board of Directors, which may exercise all such powers of, and do all such acts and things as may be done by, the Corporation and do all such lawful acts and things as are not by law or by the Certificate of Incorporation or by these Bylaws directed or required to be exercised or done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Number, Qualification and Tenure.</w:t>
      </w:r>
      <w:r>
        <w:rPr>
          <w:rFonts w:ascii="Times New Roman" w:hAnsi="Times New Roman"/>
          <w:sz w:val="20"/>
        </w:rPr>
        <w:t xml:space="preserve"> The Board of Directors of the Corporation shall consist of such number of members as provided in the Certificate of Incorporation. Within the limit specified in the Certificate of Incorporation, the number of directors shall be determined from time to time by resolution of the Board of Directors. The number of directors initially shall be fixed at three (3). The directors shall be elected at the annual meeting of the stockholders, except as provided in the Certificate of Incorporation, and each director elected shall hold office until his or her successor is elected and qualified or until his or her earlier death, termination, resignation or removal from office. Directors need not be stockholders. </w:t>
      </w:r>
    </w:p>
    <w:p>
      <w:pPr>
        <w:pStyle w:val="TextBody"/>
        <w:bidi w:val="0"/>
        <w:spacing w:before="12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Vacancies and Newly-Created Directorships.</w:t>
      </w:r>
      <w:r>
        <w:rPr>
          <w:rFonts w:ascii="Times New Roman" w:hAnsi="Times New Roman"/>
          <w:sz w:val="20"/>
        </w:rPr>
        <w:t xml:space="preserve"> Any vacancy, however occurring, and any newly created directorship resulting from any increase in the number of directors shall be filled exclusively by the affirmative vote of the holders of shares of capital stock representing a majority of the votes entitled to vote in the election of directors. Such approval may be given either at any annual or special meeting of stockholders called for such purpose, present in person or represented by proxy, or by written consent in lieu of a meeting. Each director so chosen shall hold office until his or her successor is elected and qualified or until his or her earlier death, termination, resignation, retirement, disqualification or removal from office. Neither the Board of Directors nor any remaining director(s) shall have the authority to fill any such vacancy or newly created directorship.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Place of Meetings</w:t>
      </w:r>
      <w:r>
        <w:rPr>
          <w:rFonts w:ascii="Times New Roman" w:hAnsi="Times New Roman"/>
          <w:sz w:val="20"/>
        </w:rPr>
        <w:t xml:space="preserve">. The Board of Directors may hold meetings, both regular and special, either within or without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Meetings.</w:t>
      </w:r>
      <w:r>
        <w:rPr>
          <w:rFonts w:ascii="Times New Roman" w:hAnsi="Times New Roman"/>
          <w:sz w:val="20"/>
        </w:rPr>
        <w:t xml:space="preserve"> The Board of Directors shall hold a regular meeting, to be known as the annual meeting, immediately following each annual meeting of the stockholders. Other regular meetings of the Board of Directors shall be held at such time and place as shall from time to time be determined by the Board. No notice of regular meetings need be given, other than by announcement at the immediately preceding regular meeting. Special meetings of the Board may be called by the Chairman of the Board or Vice Chairman, if any, or the Chief Executive Officer or by the Secretary on the written request of a majority of the Board of Directors. Notice of any special meeting of the Board shall be given at least twenty-four hours prior thereto, either in writing, or telephonically if confirmed promptly in writing, to each director at the address shown for such director on the records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Waiver of Notice; Business and Purpose.</w:t>
      </w:r>
      <w:r>
        <w:rPr>
          <w:rFonts w:ascii="Times New Roman" w:hAnsi="Times New Roman"/>
          <w:sz w:val="20"/>
        </w:rPr>
        <w:t xml:space="preserve"> Notice of any meeting of the Board of Directors may be waived in writing signed by the person or persons entitled to such notice either before or after the time of the meeting. The attendance of a director at any meeting shall constitute a waiver of notice of such meeting, except where a director attends a meeting for the express purpose of objecting to the transaction of any business because the meeting is not lawfully called or convened and at the beginning of the meeting records such objection with the person acting as secretary of the meeting and does not thereafter vote on any action taken at the meeting. Neither the business to be transacted at, nor the purpose of, any regular or special meeting of the Board need be specified in the notice or waiver of notice of such meeting, unless specifically required by the Delaware Law.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Quorum and Manner of Acting.</w:t>
      </w:r>
      <w:r>
        <w:rPr>
          <w:rFonts w:ascii="Times New Roman" w:hAnsi="Times New Roman"/>
          <w:sz w:val="20"/>
        </w:rPr>
        <w:t xml:space="preserve"> At all meetings of the Board of Directors a majority of the total number of directors shall constitute a quorum for the transaction of business. If a quorum shall not be present at any meeting of the Board of Directors, the directors present thereat may adjourn the meeting from time to time, without notice other than announcement at the meeting, until a quorum shall be present. The act of a majority of the directors present at any meeting at which there is a quorum shall be the act of the Board of Directors, except as may be otherwise specifically provided by the Delaware Law or by the Certificate of Incorporation. Withdrawal of directors from any meeting shall not cause the failure of a duly constituted quorum at such meeting. A director who is in attendance at a meeting of the Board of Directors but who abstains from the vote on any matter shall not be deemed present at such meeting for purposes of the preceding sentence with respect to such vote, but shall be deemed present at such meeting for all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Nomination of Directors and Presentation of Business at Stockholder</w:t>
      </w:r>
      <w:r>
        <w:rPr>
          <w:rFonts w:ascii="Times New Roman" w:hAnsi="Times New Roman"/>
          <w:sz w:val="20"/>
        </w:rPr>
        <w:t xml:space="preserve"> </w:t>
      </w:r>
      <w:r>
        <w:rPr>
          <w:rFonts w:ascii="Times New Roman" w:hAnsi="Times New Roman"/>
          <w:sz w:val="20"/>
          <w:u w:val="single"/>
        </w:rPr>
        <w:t>Meetings.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Nominations of persons for election to the Board of Directors and the proposal of business to be considered by the stockholders may be made at an annual meeting of stockholders (i) pursuant to the Corporation’s notice of meeting, (ii) by or at the direction of the Board of Directors or (iii) by any stockholder who was a stockholder of record at the time of the giving of notice provided for in this Section 8, who is entitled to vote at the meeting and who complied with the notice procedures set forth in this Section 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nominations or other business to be properly brought before an annual meeting by a stockholder pursuant to clause (iii) of paragraph (a) of this Section 8, the stockholder must have given timely notice thereof in writing to the Secretary of the Corporation. To be timely, a stockholder’s notice shall be delivered to the Secretary at the principal executive offices of the Corporation not less than 60 days nor more than 90 days prior to the first anniversary of the preceding year’s annual meeting; provided, however, that in the event that the date of the annual meeting is advanced by more than 30 days or delayed by more than 60 days from such anniversary date, notice by the stockholder to be timely must be so delivered not earlier than the 90th day prior to such annual meeting and not later than the close of business or the later of (i) the 60th day prior to such annual meeting or (ii) the 10th day following the day on which public announcement of the date of such meeting is first made.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stockholder’s notice shall set forth (i)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 consent to being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(iii) as to the stockholder giving the notice and the beneficial owner, if any, on whose behalf the nomination or proposal is made (1) the name and address of such stockholder as they appear on the Corporation’s books, and of such beneficial owner and (2) the class and number of shares of stock of the Corporation that are owned beneficially and of record by such stockholder and such beneficial owner. Notwithstanding anything in the second sentence of this paragraph (b)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70 days prior to the first anniversary of the preceding year’s annual meeting, a stockholder’s notice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the public announcement is first made by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such business shall be conducted at a special meeting of stockholders as shall have been brought before the meeting pursuant to the Corporation’s notice of meeting. Nominations of persons for election to the Board of Directors may be made at a special meeting of stockholders with regard to which the Board of Directors has determined that directors are to be elected (i) pursuant to the Corporation’s notice of meeting, (ii) by or at the direction of the Board of Directors or (ii) by any stockholder who is a stockholder of record at the time of the giving of notice provided for in this Section 8, who shall be entitled to vote for the election of directors at the meeting and who complies with the notice procedures set forth in this Section 8.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setting forth the information and complying with the form described in paragraph (b) of this Section 8 shall be delivered to the Secretary at the principal executive offices of the Corporation not earlier than the 90th day prior to such special meeting and not later than the close of business on the late of (i) the 60th day prior to such special meeting or (ii) the 10th day following the day on which public announcement is first made of the date of the special meeting and of the nominees proposed by the Board of Directors to be elected at such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such persons who are nominated in accordance with the procedures set forth in this Section 8 shall be eligible to serve as directors and only such business shall be conducted at a meeting of stockholders as shall have been brought before the meeting in accordance with the procedures set forth in this Section 8. The Chairman of the meeting of stockholders shall have the power and duty to determine whether a nomination or any business proposed to be brought before the meeting was made in accordance with the procedures set forth in this Section 8 and, if any proposed nomination or business is not in compliance with this Section 8, to declare that such defective nominations or proposal shall be disregarded.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E.</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8,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provisions of this Section 8, (i) if any class or series of stock has the right, voting separately by class or series, to elect directors at an annual or special meeting of stockholders, such directors shall be nominated and elected pursuant to the terms of such class or series of stock; and (ii) a stockholder shall also comply with all applicable requirements of the Exchange Act and the rules and regulations thereunder with respect to the matters set forth in this Section 8. Nothing in this Section 8 shall be deemed to affect any rights of stockholders to request inclusion of proposals in the Corporation’s proxy statement pursuant to Rule 14a-8 under the Exchange Act. </w:t>
            </w:r>
          </w:p>
        </w:tc>
      </w:tr>
    </w:tbl>
    <w:p>
      <w:pPr>
        <w:pStyle w:val="TextBody"/>
        <w:bidi w:val="0"/>
        <w:spacing w:before="240" w:after="0"/>
        <w:jc w:val="left"/>
        <w:rPr>
          <w:rFonts w:ascii="Times New Roman" w:hAnsi="Times New Roman"/>
          <w:sz w:val="20"/>
        </w:rPr>
      </w:pPr>
      <w:r>
        <w:rPr>
          <w:rFonts w:ascii="Times New Roman" w:hAnsi="Times New Roman"/>
          <w:sz w:val="20"/>
        </w:rPr>
        <w:t>Section 9</w:t>
      </w:r>
      <w:r>
        <w:rPr>
          <w:rFonts w:ascii="Times New Roman" w:hAnsi="Times New Roman"/>
          <w:sz w:val="20"/>
          <w:u w:val="single"/>
        </w:rPr>
        <w:t>. Organization.</w:t>
      </w:r>
      <w:r>
        <w:rPr>
          <w:rFonts w:ascii="Times New Roman" w:hAnsi="Times New Roman"/>
          <w:sz w:val="20"/>
        </w:rPr>
        <w:t xml:space="preserve"> The Chairman of the Board, if elected, shall act as chairman at all meetings of the Board of Directors. If the Chairman of the Board is not elected or, if elected, is not present, the Vice Chairman, if any, or if no such Vice Chairman is present, a director chosen by a majority of the directors present, shall act as chairman at such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Committees.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Executive Committee.</w:t>
            </w:r>
            <w:r>
              <w:rPr>
                <w:rFonts w:ascii="Times New Roman" w:hAnsi="Times New Roman"/>
                <w:sz w:val="20"/>
              </w:rPr>
              <w:t xml:space="preserve"> The Board of Directors, by resolution adopted by a majority of the whole Board of Directors, may designate one or more directors to constitute an Executive Committee, to serve as such, unless the resolution designating the Executive Committee is sooner amended or rescinded by the Board of Directors, until the next annual meeting of the Board of Directors or until their respective successors are designated. The Board of Directors, by resolution adopted by a majority of the whole Board of Directors, may also designate additional directors as alternate members of the Executive Committee to serve as members of the Executive Committee in the place and stead of any regular member or members thereof who may be unable to attend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a meeting or otherwise unavailable to act as a member of the Executive Committee. In the absence or disqualification of a member and all alternate members who may serve in the place and stead of such member, the member or members thereof present at any meeting and not disqualified from voting, whether or not such member or members constitute a quorum, may unanimously appoint another director to act at the meeting in the place of any such absent or disqualified member.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expressly limited by Delaware Law or the Certificate of Incorporation, the Executive Committee shall have and may exercise all the powers and authority of the Board of Directors in the management of the business and affairs of the Corporation between the meetings of the Board of Directors. The Executive Committee shall keep a record of its acts and proceedings, which shall form a part of the records of the Corporation in the custody of the Secretary, and all actions of the Executive Committee shall be reported to the Board of Directors at the next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Meetings of the Executive Committee may be called at any time by the Chairman of the Board of Directors, if any, the Chief Executive Officer or any two of its members. No notice of meetings need be given. A majority of the members of the Executive Committee shall constitute a quorum for the transaction of business and, except as expressly limited by this section, the act of a majority of the members present at any meeting at which there is a quorum shall be the act of the Executive Committee. Except as expressly provided in this Section, the Executive Committee shall fix its own rules of procedure.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The Board of Directors, by resolution adopted by a majority of the whole Board of Directors, may designate two or more directors to constitute an Audit Committee, to serve as such, unless the resolution designating the Audit Committee is sooner amended or rescinded by the Board of Directors, until the next annual meeting of the Board of Directors or until their respective successors are designated. The Board of Directors, by resolution adopted by a majority of the whole Board of Directors, may also designate additional directors as alternate members of the Audit Committee to serve as members of the Audit Committee in the place and stead of any regular member or members thereof who may be unable to attend a meeting or otherwise unavailable to act as a member of the Audit Committee. In the absence or disqualification of a member and all alternate members who may serve in the place and stead of such member, the member or members thereof present at any meeting and not disqualified from voting, whether or not such member or members constitute a quorum, may unanimously appoint another director to act at the meeting in the place of any such absent or disqualified member. Each member of the Audit Committee shall be independent of management of the Corporation and free from any relationship that, in the opinion of the Board of Directors, would interfere with the exercise of independent judgment as a member of the Audit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expressly limited by Delaware Law or the Certificate of Incorporation, the Audit Committee shall have and may exercise all the powers and authority of the Board of Directors to establish auditing procedures for the Corporation and to appoint and oversee the Corporation’s independent public accountants to the fullest extent. The Audit Committee shall keep a record of its acts and proceedings, which shall form a part of the records of the Corporation in the custody of the Secretary, and all actions of the Audit Committee shall be reported to the Board of Directors at the next meeting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Meetings of the Audit Committee may be called at any time by the Chairman of the Board of Directors, the Chief Executive Officer or any two of its members. Two days’ written or telephonic notice of meetings shall be given. A majority of the members of the Audit Committee shall constitute a quorum for the transaction of business and, except as expressly limited by this section, the act of a majority of the members present at any meeting at which there is a quorum shall be the act of the Audit Committee. Except as expressly provided in this Section, the Audit Committee shall fix its own rules of procedure.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Executive Compensation Committee.</w:t>
            </w:r>
            <w:r>
              <w:rPr>
                <w:rFonts w:ascii="Times New Roman" w:hAnsi="Times New Roman"/>
                <w:sz w:val="20"/>
              </w:rPr>
              <w:t xml:space="preserve"> The Board of Directors, by resolution adopted by a majority of the whole Board of Directors, may designate two or more directors to constitute an Executive Compensation Committee, to serve as such, unless the resolution designating the Executive Compensation Committee is sooner amended or rescinded by the Board of Directors, until the next annual meeting of the Board of Directors or until their respective successors are designated. The Board of Directors, by resolution adopted by a majority of the whole Board of Directors, may also designate additional directors as alternate members of the Executive Compensation Committee to serve as members of the Executive Compensation Committee in the place and stead of any regular member or members thereof who may be unable to attend a meeting or otherwise unavailable to act as a member of the Executive Compensation Committee. In the absence or disqualification of a member and all alternate members who may serve in the place and stead of such member, the member or members thereof present at any meeting and not disqualified from voting, whether or not such member or members constitute a quorum, may unanimously appoint another director to act at the meeting in the place of any such absent or disqualified member. Each member of the Executive Compensation Committee shall be a “disinterested person” within the meaning of Rule 16b-3(c)(2)(i) promulgated under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expressly limited by Delaware Law or the Certificate of Incorporation, the Executive Compensation Committee shall have and may exercise such powers as the Board of Directors may determine and specify by resolution. The Executive Compensation Committee shall keep a record of its acts and proceedings, which shall form a part of the records of the Corporation in the custody of the Secretary, and all actions of the Executive Compensation Committee shall be reported to the Board of Directors at the next meeting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Meetings of the Executive Compensation Committee may be called at any time by the Chairman of the Board of Directors, the Chief Executive Officer or any two of its members. Two days’ written or telephonic notice of meetings shall be given. A majority of the members of the Executive Compensation Committee shall constitute a quorum for the transaction of business and, except as expressly limited by this section, the act of a majority of the members present at any meeting at which there is a quorum shall be the act of the Executive Compensation Committee. Except as expressly provided in this Section, the Executive Compensation Committee shall fix its own rules of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Other Committees.</w:t>
            </w:r>
            <w:r>
              <w:rPr>
                <w:rFonts w:ascii="Times New Roman" w:hAnsi="Times New Roman"/>
                <w:sz w:val="20"/>
              </w:rPr>
              <w:t xml:space="preserve"> The Board of Directors, by resolution adopted by a majority of the whole Board of Directors, may designate one or more other committees, each such committee to consist of two or more directors. Except as expressly limited by Delaware Law or the Certificate of Incorporation, any such committee shall have and may exercise such powers as the Board of Directors may determine and specify in the resolution designating such committee. The Board of Directors, by resolution adopted by a majority of the whole Board of Directors, also may designate one or more additional directors as alternate members of any such committee to replace any absent or disqualified member at any meeting of the committee, and at any time may change the membership of any committee or amend or rescind the resolution designating the committee. In the absence or disqualification of a member or alternate member of a committee, the member or members thereof present at any meeting and not disqualified from voting, whether or not such member or members constitute a quorum, may unanimously appoint another director to act at the meeting in the place of any such absent or disqualified member, provided that the director so appointed meets any qualifications stated in the resolution designating the committee. Each committee shall keep a record of proceedings and report the same to the Board of Directors to such extent and in such form as the Board of Directors may require. Unless otherwise provided in the resolution designating a committee, a majority of all of the members of any such committee may select its Chairman, fix its rules or procedure, fix the time and place of its meetings and specify what notice of meetings, if any, shall be given.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Action without Meeting.</w:t>
      </w:r>
      <w:r>
        <w:rPr>
          <w:rFonts w:ascii="Times New Roman" w:hAnsi="Times New Roman"/>
          <w:sz w:val="20"/>
        </w:rPr>
        <w:t xml:space="preserve"> Unless otherwise specifically prohibited by the Certificate of Incorporation or these Bylaws, any action required or permitted to be taken at any meeting of the Board of Directors or of any committee thereof may be taken without a meeting, if all members of the Board of Directors or such committee, as the case may be, execute a consent thereto in writing or by electronic transmission setting forth the action so taken. After an action is taken, the writing or writings or electronic transmission(s) shall be filed with the minutes of proceedings of the Board of Directors or such committee.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Attendance by Telephone.</w:t>
      </w:r>
      <w:r>
        <w:rPr>
          <w:rFonts w:ascii="Times New Roman" w:hAnsi="Times New Roman"/>
          <w:sz w:val="20"/>
        </w:rPr>
        <w:t xml:space="preserve"> Members of the Board of Directors, or any committee thereof, may participate in and act at any meeting of the Board of Directors, or such committee, as the case may be, through the use of a conference telephone or other communications equipment by means of which all persons participating in the meeting can hear each other. Participation in such meeting shall constitute attendance and presence in person at the meeting of the person or persons so participating.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Compensation.</w:t>
      </w:r>
      <w:r>
        <w:rPr>
          <w:rFonts w:ascii="Times New Roman" w:hAnsi="Times New Roman"/>
          <w:sz w:val="20"/>
        </w:rPr>
        <w:t xml:space="preserve"> The Board of Directors shall have the authority to fix the compensation of directors. No such compensation shall preclude any director from serving the Corporation in any other capacity and receiving compensation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Enumeration.</w:t>
      </w:r>
      <w:r>
        <w:rPr>
          <w:rFonts w:ascii="Times New Roman" w:hAnsi="Times New Roman"/>
          <w:sz w:val="20"/>
        </w:rPr>
        <w:t xml:space="preserve"> The officers of the Corporation shall be chosen by the Board of Directors and shall include a Chief Executive Officer, one or more Presidents, one or more Vice Presidents, a Secretary and a Treasurer. The Board of Directors may also elect a Chairman of the Board, a Vice Chairman, one or more Assistant Secretaries and Assistant Treasurers and such other officers and agents as it may deem appropriate. Any number of offices may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Term of Office.</w:t>
      </w:r>
      <w:r>
        <w:rPr>
          <w:rFonts w:ascii="Times New Roman" w:hAnsi="Times New Roman"/>
          <w:sz w:val="20"/>
        </w:rPr>
        <w:t xml:space="preserve"> The officers of the Corporation shall be elected at the annual meeting of the Board of Directors and shall hold office until their successors are elected and qualified, or until their earlier death, termination, resignation or removal from office. Any officer or agent of the Corporation may be removed at any time by the Board of Directors, with or without cause. Any vacancy in any office because of death, resignation, termination, removal, disqualification or otherwise, may be filled by the Board of Directors for the unexpired portion of the term.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Chairman of the Board.</w:t>
      </w:r>
      <w:r>
        <w:rPr>
          <w:rFonts w:ascii="Times New Roman" w:hAnsi="Times New Roman"/>
          <w:sz w:val="20"/>
        </w:rPr>
        <w:t xml:space="preserve"> The Chairman of the Board, when and if elected, shall preside at meetings of the Board of Directors and of stockholders and shall have such other functions, authority and duties as authorized by these Bylaws or as may be prescribed by the Board of Directors. The Chairman of the Board, if any, shall be a member of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Vice Chairman.</w:t>
      </w:r>
      <w:r>
        <w:rPr>
          <w:rFonts w:ascii="Times New Roman" w:hAnsi="Times New Roman"/>
          <w:sz w:val="20"/>
        </w:rPr>
        <w:t xml:space="preserve"> The Vice Chairman, if any, in the absence of the Chairman or in the event of the Chairman’s inability or refusal to act, shall have the authority to perform the duties of the Chairman and such other duties as may from time to time be prescribed by the Board of Directors or the Chairman of the Board. The Vice Chairman, if any, shall be a member of the Board of Directors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Chief Executive Officer.</w:t>
      </w:r>
      <w:r>
        <w:rPr>
          <w:rFonts w:ascii="Times New Roman" w:hAnsi="Times New Roman"/>
          <w:sz w:val="20"/>
        </w:rPr>
        <w:t xml:space="preserve"> The Chief Executive Officer shall be the chief executive officer of the Corporation, and, as such, shall have general supervision, direction and control of the business and affairs of the Corporation, subject to the control of the Board of Directors, and shall have such other functions, authority and duties as customarily appertain to the office of the chief executive of a business corporation or as may be prescribed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President.</w:t>
      </w:r>
      <w:r>
        <w:rPr>
          <w:rFonts w:ascii="Times New Roman" w:hAnsi="Times New Roman"/>
          <w:sz w:val="20"/>
        </w:rPr>
        <w:t xml:space="preserve"> The President shall perform such duties and have such other powers as may from time to time be prescribed by the Board of Directors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President-Chicago Region.</w:t>
      </w:r>
      <w:r>
        <w:rPr>
          <w:rFonts w:ascii="Times New Roman" w:hAnsi="Times New Roman"/>
          <w:sz w:val="20"/>
        </w:rPr>
        <w:t xml:space="preserve"> The President-Chicago Region, if any, shall perform such duties and have such other powers as may from time to time be prescribed by the Board of Directors or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Vice President.</w:t>
      </w:r>
      <w:r>
        <w:rPr>
          <w:rFonts w:ascii="Times New Roman" w:hAnsi="Times New Roman"/>
          <w:sz w:val="20"/>
        </w:rPr>
        <w:t xml:space="preserve"> Each Vice President shall perform such duties and have such other powers as may from time to time be prescribed by the Board of Directors, the Chief Executive Officer or the President.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Secretary.</w:t>
      </w:r>
      <w:r>
        <w:rPr>
          <w:rFonts w:ascii="Times New Roman" w:hAnsi="Times New Roman"/>
          <w:sz w:val="20"/>
        </w:rPr>
        <w:t xml:space="preserve"> The Secretary shall: (a) keep a record of all proceedings of the stockholders, the Board of Directors and any committees thereof in one of more books provided for that purpose; (b) give, or cause to be given, all notices that are required by law or these Bylaws to be given by the Secretary; (c) be custodian of the corporate records and, if the Corporation has a corporate seal, of the seal of the Corporation; (d) have authority to affix the seal of the Corporation to all instruments the execution of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requires such seal and to attest such affixing of the seal; (e) keep a register of the post office address of each stockholder which shall be furnished to the Secretary by such stockholder; (f) sign, with the Chairman or the Vice Chairman, if any, or Chief Executive Officer, President or any Vice President, or any other officer thereunto authorized by the Board of Directors, any certificates for shares of the Corporation, or any deeds, mortgages, bonds, contracts or other instruments which the Board of Directors has authorized to be executed by the signature of more than one officer; (g) have general charge of the stock transfer books of the Corporation; (h) have authority to certify as true and correct, copies of the Bylaws, or resolutions of the stockholders, the Board of Directors and committees thereof, and of other documents of the Corporation; and (i) in general, perform the duties incident to the office of secretary and such other duties as from time to time may be prescribed by the Board of Directors, the Chief Executive Officer or the President. The Board of Directors may give general authority to any other officer to affix the seal of the Corporation and to attest such affixing of the seal.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Assistant Secretary.</w:t>
      </w:r>
      <w:r>
        <w:rPr>
          <w:rFonts w:ascii="Times New Roman" w:hAnsi="Times New Roman"/>
          <w:sz w:val="20"/>
        </w:rPr>
        <w:t xml:space="preserve"> The Assistant Secretary, or if there shall be more than one, each Assistant Secretary in the absence of the Secretary or in the event of the Secretary’s inability or refusal to act, shall have the authority to perform the duties of the Secretary, subject to such limitations thereon as may be imposed by the Board of Directors, and such other duties as may from time to time be prescribed by the Board of Directors, the Chief Executive Officer, the President or the Secretary.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Treasurer.</w:t>
      </w:r>
      <w:r>
        <w:rPr>
          <w:rFonts w:ascii="Times New Roman" w:hAnsi="Times New Roman"/>
          <w:sz w:val="20"/>
        </w:rPr>
        <w:t xml:space="preserve"> The Treasurer shall be the principal accounting and financial officer of the Corporation. The Treasurer shall: (a) have charge of and be responsible for the maintenance of adequate books of account for the Corporation; (b) have charge and custody of all funds and securities of the Corporation, and be responsible therefor and for the receipt and disbursement thereof; and (c) perform the duties incident to the office of treasurer and such other duties as may from time to time be prescribed by the Board of Directors, the Chief Executive Officer or the President. The Treasurer may sign with the Chairman or the Vice Chairman, if any, the Chief Executive Officer, the President or any Vice President, or any other officer thereunto authorized by the Board of Directors, certificates for shares of the Corporation. If required by the Board of Directors, the Treasurer shall give a bond for the faithful discharge of his or her duties in such sum and with such surety or sureties as the Board of Directors may determine.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Assistant Treasurer.</w:t>
      </w:r>
      <w:r>
        <w:rPr>
          <w:rFonts w:ascii="Times New Roman" w:hAnsi="Times New Roman"/>
          <w:sz w:val="20"/>
        </w:rPr>
        <w:t xml:space="preserve"> The Assistant Treasurer, or if there shall be more than one, each Assistant Treasurer, in the absence of the Treasurer or in the event of the Treasurer’s inability or refusal to act, shall have the authority to perform the duties of the Treasurer, subject to such limitations thereon as may be imposed by the Board of Directors, and such other duties as may from time to time be prescribed by the Board of Directors, the Chief Executive Officer, the President or the Treasurer.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Other Officers and Agents.</w:t>
      </w:r>
      <w:r>
        <w:rPr>
          <w:rFonts w:ascii="Times New Roman" w:hAnsi="Times New Roman"/>
          <w:sz w:val="20"/>
        </w:rPr>
        <w:t xml:space="preserve"> Any officer or agent who is elected or appointed from time to time by the Board of Directors and whose duties are not specified in these Bylaws shall perform such duties and have such powers as may from time to time be prescribed by the Board of Directors, the Chief Executive Officer or the President.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CERTIFICATES OF STOCK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 xml:space="preserve">Form. </w:t>
      </w:r>
      <w:r>
        <w:rPr>
          <w:rFonts w:ascii="Times New Roman" w:hAnsi="Times New Roman"/>
          <w:sz w:val="20"/>
        </w:rPr>
        <w:t xml:space="preserve">The shares of the Corporation shall be represented by certificates; provided, however, the Board of Directors may provide by resolution or resolutions that some or all of any or all classes or series of the Corporation’s stock shall be uncertificated shares. Each certificate for shares shall be consecutively numbered or otherwise identified. Certificates of stock in the Corporation, shall be signed by or in the name of the Corporation by the Chairman of the Board or the Chief Executive Officer, the President or a Vice President and by the Treasurer or an Assistant Treasurer or the Secretary or an Assistant Secretary of the Corporation. Where a certificate is countersigned by a transfer agent, other than the Corporation or an employee of the Corporation, or by a registrar, the signatures of one or more officers of the Corporation may be facsimiles. In case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such officer, transfer agent or registrar at the date of its issue.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Transfer.</w:t>
      </w:r>
      <w:r>
        <w:rPr>
          <w:rFonts w:ascii="Times New Roman" w:hAnsi="Times New Roman"/>
          <w:sz w:val="20"/>
        </w:rPr>
        <w:t xml:space="preserve"> Upon surrender to the Corporation or the transfer agent of the Corporation of a certificate for shares duly endorsed or accompanied by proper evidence of succession, assignment or authority to transfer, it shall be the duty of the Corporation to issue a new certificate of stock or uncertificated shares in place of any certificate therefor issued by the Corporation to the person entitled thereto, cancel the old certificate and record the transaction in its stock transfer books.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Replacement.</w:t>
      </w:r>
      <w:r>
        <w:rPr>
          <w:rFonts w:ascii="Times New Roman" w:hAnsi="Times New Roman"/>
          <w:sz w:val="20"/>
        </w:rPr>
        <w:t xml:space="preserve"> In case of the loss, destruction, mutilation or theft of a certificate for any stock of the Corporation, a new certificate of stock or uncertificated shares in place of any certificate theretofore issued by the Corporation may be issued upon the surrender of the mutilated certificate or, in the case of loss, destruction or theft of a certificate, upon satisfactory proof of such loss, destruction or theft and upon such terms as the Board of Directors may prescribe. The Board of Directors may in its discretion require the owner of the lost, destroyed or stolen certificate, or his legal representative, to give the Corporation a bond, in such sum and in such form and with such surety or sureties as it may direct, to indemnify the Corporation against any claim that may be made against it with respect to the certificate alleged to have been lost, destroyed or stolen.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INDEMNIFICATION OF DIRECTORS, OFFICERS, EMPLOYEES AND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Third Party Actions</w:t>
      </w:r>
      <w:r>
        <w:rPr>
          <w:rFonts w:ascii="Times New Roman" w:hAnsi="Times New Roman"/>
          <w:sz w:val="20"/>
        </w:rPr>
        <w:t xml:space="preserve">. The Corporation shall indemnify any person who was or is a party or is threatened to be made a party to any threatened, pending, or completed action, suit or proceeding, whether civil, criminal, administrative, or investigative, including all appeals (other than an action, suit or proceeding by or in the right of the Corporation) by reason of the fact that he is or was a director or officer, of the Corporation (and the Corporation, in the discretion of the Board of Directors, may so indemnify a person by reason of the fact that he is or was an employee or agent of the Corporation or is or was serving at the request of the Corporation in any other capacity for or on behalf of the Corporation), against expenses (including attorneys’ fees), judgments, decrees, fines, penalties,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amounts paid in settlement actually and reasonably incurred by him in connection with such action, suit or proceeding if he acted in good faith and in a manner which he reasonably believed to be in or not opposed to the best interests of the Corporation and, with respect to any criminal action or proceeding, had no reasonable cause to believe his conduct was unlawful; provided, however, the Corporation shall be required to indemnify an officer or director in connection with an action, suit or proceeding initiated by such person only if such action, suit or proceeding was authorized by the Board of Directors. The termination of any action, suit or proceeding by judgment, order, settlement, conviction, or upon a plea of nolo contendere or its equivalent, shall not, of itself, create a presumption that the person did not act in good faith or in a manner which he reasonably believed to be in or not opposed to the best interests of the Corporation and, with respect to any criminal action or proceeding, had reasonable cause to believe that his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Actions By or in the Right of the Corporation.</w:t>
      </w:r>
      <w:r>
        <w:rPr>
          <w:rFonts w:ascii="Times New Roman" w:hAnsi="Times New Roman"/>
          <w:sz w:val="20"/>
        </w:rPr>
        <w:t xml:space="preserve"> The Corporation shall indemnify any person who was or is a party or is threatened to be made a party to any threatened, pending, or completed action or suit, including all appeals, by or in the right of the Corporation to procure a judgment in its favor by reason of the fact that he is or was a director or officer of the Corporation (and the Corporation, in the discretion of the Board of Directors, may so indemnify a person by reason of the fact that he is or was an employee or agent of the Corporation or is or was serving at the request of the Corporation in any other capacity for or on behalf of the Corporation),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finally adjudged to be liable for negligence or misconduct in the performance of his duty to the Corporation unless and only to the extent that the court in which such action or suit was brought, or any other court of competent jurisdiction, shall determine upon application that, despite the adjudication of liability but in view of all the circumstances of the case, such person is fairly and reasonably entitled to indemnity for such expenses as such court shall deem proper. Notwithstanding the foregoing, the Corporation shall be required to indemnify an officer or director in connection with an action, suit or proceeding initiated by such person only if such action, suit or proceeding was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Indemnity if Successful</w:t>
      </w:r>
      <w:r>
        <w:rPr>
          <w:rFonts w:ascii="Times New Roman" w:hAnsi="Times New Roman"/>
          <w:sz w:val="20"/>
        </w:rPr>
        <w:t xml:space="preserve">. To the extent that a director, officer, employee or agent of the Corporation has been successful on the merits or otherwise in defense of any action, suit or proceeding referred to in Section 1 or 2 of this Article, or in defense of any claim, issue or matter therein, he shall be indemnified against expenses (including attorneys’ fees) actually and reasonably incurred by him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Standard of Conduct.</w:t>
      </w:r>
      <w:r>
        <w:rPr>
          <w:rFonts w:ascii="Times New Roman" w:hAnsi="Times New Roman"/>
          <w:sz w:val="20"/>
        </w:rPr>
        <w:t xml:space="preserve"> Except in a situation governed by Section 3 of this Article, any indemnification under Section 1 or 2 of this Article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Section 1 or 2, as applicable, of this Article. Such determination shall be made (i) by a majority vote of directors acting at a meeting at which a quorum consisting of directors who were not parties to such action, suit or proceeding is present, or (ii) if such a quorum is not obtainable, or even if obtainable, a quorum of disinterested directors so directs, by independent legal counsel in a written opinion, or (iii) by the stockholders. The determination required by clauses (i) and (ii) of this Section 4 may in either event be made by written consent of the majority required by each clause.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Section 5.</w:t>
      </w:r>
      <w:r>
        <w:rPr>
          <w:rFonts w:ascii="Times New Roman" w:hAnsi="Times New Roman"/>
          <w:sz w:val="20"/>
          <w:u w:val="single"/>
        </w:rPr>
        <w:t xml:space="preserve"> Expenses.</w:t>
      </w:r>
      <w:r>
        <w:rPr>
          <w:rFonts w:ascii="Times New Roman" w:hAnsi="Times New Roman"/>
          <w:sz w:val="20"/>
        </w:rPr>
        <w:t xml:space="preserve"> Expenses (including attorneys’ fees) of each officer and director hereunder indemnified actually and reasonably incurred in defending any civil, criminal, administrative or investigative action, suit or proceeding or threat thereof shall be paid by the Corporation in advance of the final disposition of such action, suit or proceeding upon receipt of an undertaking by or on behalf of such person to repay such amount if it shall ultimately be determined that he is not entitled to be indemnified by the Corporation as authorized in this Article. Such expenses (including attorneys’ fees) incurred by employees and agents may be so paid upon the receipt of the aforesaid undertaking and such terms and conditions, if any, as the Board of Directors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Nonexclusivity.</w:t>
      </w:r>
      <w:r>
        <w:rPr>
          <w:rFonts w:ascii="Times New Roman" w:hAnsi="Times New Roman"/>
          <w:sz w:val="20"/>
        </w:rPr>
        <w:t xml:space="preserve"> The indemnification and advancement of expenses provided by, or granted pursuant to, other Sections of this Article shall not be deemed exclusive of any other rights to which those seeking indemnification or advancement of expenses may now or hereafter be entitled under any law, bylaw, agreement, vote of stockholders or disinterested directors or otherwise, both as to action in his official capacity and as to action in another capacity while holding such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Insurance.</w:t>
      </w:r>
      <w:r>
        <w:rPr>
          <w:rFonts w:ascii="Times New Roman" w:hAnsi="Times New Roman"/>
          <w:sz w:val="20"/>
        </w:rPr>
        <w:t xml:space="preserv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the Delaware Law.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Definitions.</w:t>
      </w:r>
      <w:r>
        <w:rPr>
          <w:rFonts w:ascii="Times New Roman" w:hAnsi="Times New Roman"/>
          <w:sz w:val="20"/>
        </w:rPr>
        <w:t xml:space="preserve">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the power and authority to indemnify any or all of its directors, officers, employees and agents, so that any person who was a director, officer, employee or agent of such constituent corporation, or was serving at the request of such constituent corporation in any other capacity, shall stand in the same position under the provisions of this Article with respect to the resulting or surviving corporation as such person would have had with respect to such constituent corporation if its separate existence had continued as such corporation was constituted immediately prior to such merger.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Article, references to “other capacities” shall include serving as a trustee or agent for any employee benefit plan;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 person who acted in good faith and in a manner he or she reasonably believed to be in the best interests of the participants and beneficiaries of an employee benefit plan shall be deemed to have acted in a manner “not opposed to the best interests of the Corporation” as referred to in this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Severability.</w:t>
      </w:r>
      <w:r>
        <w:rPr>
          <w:rFonts w:ascii="Times New Roman" w:hAnsi="Times New Roman"/>
          <w:sz w:val="20"/>
        </w:rPr>
        <w:t xml:space="preserve"> If any provision hereof is invalid or unenforceable in any jurisdiction, the other provisions hereof shall remain in full force and effect in such jurisdiction, and the remaining provisions hereof shall be liberally construed to effectuate the provisions hereof, and the invalidity of any provision hereof in any jurisdiction shall not affect the validity or enforceability of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Amendment.</w:t>
      </w:r>
      <w:r>
        <w:rPr>
          <w:rFonts w:ascii="Times New Roman" w:hAnsi="Times New Roman"/>
          <w:sz w:val="20"/>
        </w:rPr>
        <w:t xml:space="preserve"> The right to indemnification conferred by this Article shall be deemed to be a contract between the Corporation and each person referred to herein until amended or repealed, but no amendment to or repeal of these provisions shall apply to or have any effect on the right to indemnification of any person with respect to any liability or alleged liability of such person for or with respect to any act or omission of such person occurring prior to such amendment or repeal.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Fiscal Year.</w:t>
      </w:r>
      <w:r>
        <w:rPr>
          <w:rFonts w:ascii="Times New Roman" w:hAnsi="Times New Roman"/>
          <w:sz w:val="20"/>
        </w:rPr>
        <w:t xml:space="preserve"> The fiscal year of the Corporation shall be fixed from time to time by resolution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Corporation Seal.</w:t>
      </w:r>
      <w:r>
        <w:rPr>
          <w:rFonts w:ascii="Times New Roman" w:hAnsi="Times New Roman"/>
          <w:sz w:val="20"/>
        </w:rPr>
        <w:t xml:space="preserve"> The corporate seal, if any, of the Corporation shall be in such form as may be approved from time to time by the Board of Directors. The seal may be used by causing it or a facsimile thereof to be impressed or affixed or in any other manner reproduced.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Notices and Mailing.</w:t>
      </w:r>
      <w:r>
        <w:rPr>
          <w:rFonts w:ascii="Times New Roman" w:hAnsi="Times New Roman"/>
          <w:sz w:val="20"/>
        </w:rPr>
        <w:t xml:space="preserve"> Any notice to any stockholder under the Certificate of Incorporation, these Bylaws or the Delaware Law shall be deemed given, if mailed, when deposited in the United States mail, postage prepaid, directed to the stockholder at such stockholder’s address as it appears on the records of the Corporation, and if given by any other form, including any form of electronic transmission, permitted by the Delaware Law, shall be deemed given as provided in the Delaware Law. Without limiting the manner by which notice otherwise may be given effectively to stockholders, any notice to stockholders may be given by electronic transmission in the manner provided in Section 232 of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Waiver of Notice.</w:t>
      </w:r>
      <w:r>
        <w:rPr>
          <w:rFonts w:ascii="Times New Roman" w:hAnsi="Times New Roman"/>
          <w:sz w:val="20"/>
        </w:rPr>
        <w:t xml:space="preserve"> Whenever any notice is required to be given under the Delaware Law or the provisions of the Certificate of Incorporation or these Bylaws, a waiver thereof in writing, signed by the person or persons entitled to said notice, or a waiver by electronic transmission, whether before or after the time stated therein, shall be deemed equivalent to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Interpretation.</w:t>
      </w:r>
      <w:r>
        <w:rPr>
          <w:rFonts w:ascii="Times New Roman" w:hAnsi="Times New Roman"/>
          <w:sz w:val="20"/>
        </w:rPr>
        <w:t xml:space="preserve"> In these Bylaws, unless a clear contrary intention appears, the singular number includes the plural number and vice versa, and reference to either gender includes the other gender.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12"/>
        <w:gridCol w:w="120"/>
        <w:gridCol w:w="3362"/>
        <w:gridCol w:w="120"/>
        <w:gridCol w:w="3191"/>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1" w:type="dxa"/>
            <w:tcBorders/>
            <w:vAlign w:val="center"/>
          </w:tcPr>
          <w:p>
            <w:pPr>
              <w:pStyle w:val="TableContents"/>
              <w:bidi w:val="0"/>
              <w:spacing w:before="0" w:after="283"/>
              <w:jc w:val="left"/>
              <w:rPr>
                <w:sz w:val="4"/>
                <w:szCs w:val="4"/>
              </w:rPr>
            </w:pPr>
            <w:r>
              <w:rPr>
                <w:sz w:val="4"/>
                <w:szCs w:val="4"/>
              </w:rPr>
            </w:r>
          </w:p>
        </w:tc>
      </w:tr>
      <w:tr>
        <w:trPr/>
        <w:tc>
          <w:tcPr>
            <w:tcW w:w="341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center"/>
              <w:rPr/>
            </w:pPr>
            <w:r>
              <w:rPr/>
              <w:drawing>
                <wp:inline distT="0" distB="0" distL="0" distR="0">
                  <wp:extent cx="809625" cy="390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09625" cy="3905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191" w:type="dxa"/>
            <w:tcBorders/>
          </w:tcPr>
          <w:p>
            <w:pPr>
              <w:pStyle w:val="TableContents"/>
              <w:bidi w:val="0"/>
              <w:spacing w:before="0" w:after="283"/>
              <w:jc w:val="right"/>
              <w:rPr/>
            </w:pPr>
            <w:r>
              <w:rPr/>
              <w:t>Effective October 1, 2026</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Forum for Adjudication of Certain Disputes.</w:t>
      </w:r>
      <w:r>
        <w:rPr>
          <w:rFonts w:ascii="Times New Roman" w:hAnsi="Times New Roman"/>
          <w:sz w:val="20"/>
        </w:rPr>
        <w:t xml:space="preserve"> Unless the Corporation consents in writing to the selection of an alternative forum (an “Alternative Forum Consent”), the Court of Chancery of the State of Delaware shall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against the Corporation or any director, officer, stockholder, employee or agent of the Corporation arising out of or relating to any provision of the Delaware Law or the Corporation’s Certificate of Incorporation or these Bylaws, or (iv) any action asserting a claim against the Corporation or any director, officer, stockholder, employee or agent of the Corporation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 provisions of this Section 6 of Article </w:t>
      </w:r>
    </w:p>
    <w:p>
      <w:pPr>
        <w:pStyle w:val="TextBody"/>
        <w:bidi w:val="0"/>
        <w:spacing w:before="0" w:after="0"/>
        <w:jc w:val="left"/>
        <w:rPr>
          <w:rFonts w:ascii="Times New Roman" w:hAnsi="Times New Roman"/>
          <w:sz w:val="20"/>
        </w:rPr>
      </w:pPr>
      <w:r>
        <w:rPr>
          <w:rFonts w:ascii="Times New Roman" w:hAnsi="Times New Roman"/>
          <w:sz w:val="20"/>
        </w:rPr>
        <w:t xml:space="preserve">VII. The existence of any prior Alternative Forum Consent shall not act as a waiver of the Corporation’s ongoing consent right as set forth above in this Section 6 of Article VII with respect to any current or future actions or claims.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These Bylaws may be altered, amended or repealed or new Bylaws may be adopted by the Board of Directors. The fact that the power to amend, alter, repeal or adopt the Bylaws has been conferred upon the Board of Directors shall not divest the stockholders of the same powers; provided, that any alteration, repeal or amendment of Article II, Section 8, Article III, Section 8 or this Article VIII by the stockholders shall require the affirmative vote of the holders of shares of capital stock having at least 80% of the vote which could be cast by the holders of all shares of capital stock entitled to vote thereupon, voting as a single class, at a duly constituted meeting of stockholders called expressly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TextBody"/>
        <w:bidi w:val="0"/>
        <w:spacing w:before="0" w:after="0"/>
        <w:jc w:val="right"/>
        <w:rPr>
          <w:rFonts w:ascii="Times New Roman" w:hAnsi="Times New Roman"/>
          <w:b/>
          <w:sz w:val="20"/>
        </w:rPr>
      </w:pPr>
      <w:bookmarkStart w:id="4" w:name="d118269dex991.htm"/>
      <w:bookmarkStart w:id="5" w:name="ksd118269dex991"/>
      <w:bookmarkEnd w:id="4"/>
      <w:bookmarkEnd w:id="5"/>
      <w:r>
        <w:rPr>
          <w:rFonts w:ascii="Times New Roman" w:hAnsi="Times New Roman"/>
          <w:b/>
          <w:sz w:val="20"/>
        </w:rPr>
        <w:t xml:space="preserve">Exhibit 99.1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Executed Version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Hub Group,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to Certain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Under Section 228(e) of the Delaware General Corporation Law </w:t>
      </w:r>
    </w:p>
    <w:p>
      <w:pPr>
        <w:pStyle w:val="TextBody"/>
        <w:bidi w:val="0"/>
        <w:spacing w:before="240" w:after="0"/>
        <w:jc w:val="center"/>
        <w:rPr>
          <w:rFonts w:ascii="Times New Roman" w:hAnsi="Times New Roman"/>
          <w:b/>
          <w:sz w:val="20"/>
        </w:rPr>
      </w:pPr>
      <w:r>
        <w:rPr>
          <w:rFonts w:ascii="Times New Roman" w:hAnsi="Times New Roman"/>
          <w:b/>
          <w:sz w:val="20"/>
        </w:rPr>
        <w:t xml:space="preserve">October 2, 2026 </w:t>
      </w:r>
    </w:p>
    <w:p>
      <w:pPr>
        <w:pStyle w:val="TextBody"/>
        <w:bidi w:val="0"/>
        <w:spacing w:before="240" w:after="0"/>
        <w:jc w:val="left"/>
        <w:rPr>
          <w:rFonts w:ascii="Times New Roman" w:hAnsi="Times New Roman"/>
          <w:sz w:val="20"/>
        </w:rPr>
      </w:pPr>
      <w:r>
        <w:rPr>
          <w:rFonts w:ascii="Times New Roman" w:hAnsi="Times New Roman"/>
          <w:sz w:val="20"/>
        </w:rPr>
        <w:t>This notice is being sent to inform you that, on October 1, 2026, stockholders holding a majority in power of the shares of capital stock of Hub Group, Inc. (the “</w:t>
      </w:r>
      <w:r>
        <w:rPr>
          <w:rFonts w:ascii="Times New Roman" w:hAnsi="Times New Roman"/>
          <w:b/>
          <w:i/>
          <w:sz w:val="20"/>
        </w:rPr>
        <w:t>Company</w:t>
      </w:r>
      <w:r>
        <w:rPr>
          <w:rFonts w:ascii="Times New Roman" w:hAnsi="Times New Roman"/>
          <w:sz w:val="20"/>
        </w:rPr>
        <w:t>”) in accordance with the Company’s Amended and Restated Certificate of Incorporation, as amended, and the Delaware General Corporation Law (the “</w:t>
      </w:r>
      <w:r>
        <w:rPr>
          <w:rFonts w:ascii="Times New Roman" w:hAnsi="Times New Roman"/>
          <w:b/>
          <w:i/>
          <w:sz w:val="20"/>
        </w:rPr>
        <w:t>DGCL</w:t>
      </w:r>
      <w:r>
        <w:rPr>
          <w:rFonts w:ascii="Times New Roman" w:hAnsi="Times New Roman"/>
          <w:sz w:val="20"/>
        </w:rPr>
        <w:t>”) authorized and approved, by written consent, the removal of Messrs. Michael Flannery, Peter McNitt, and Gary Yablon from the Company’s Board of Directors (the “</w:t>
      </w:r>
      <w:r>
        <w:rPr>
          <w:rFonts w:ascii="Times New Roman" w:hAnsi="Times New Roman"/>
          <w:b/>
          <w:i/>
          <w:sz w:val="20"/>
        </w:rPr>
        <w:t>Board</w:t>
      </w:r>
      <w:r>
        <w:rPr>
          <w:rFonts w:ascii="Times New Roman" w:hAnsi="Times New Roman"/>
          <w:sz w:val="20"/>
        </w:rPr>
        <w:t xml:space="preserve">”), amended and restated the bylaws of the Company with the Second Amended and Restated Bylaws, and appointed Messrs. Thaddeus J. Malik, Thomas P. Fitzgerald, Thomas M. White, and Gregory D. Bunch to the Board. </w:t>
      </w:r>
    </w:p>
    <w:p>
      <w:pPr>
        <w:pStyle w:val="TextBody"/>
        <w:bidi w:val="0"/>
        <w:spacing w:before="240" w:after="0"/>
        <w:jc w:val="left"/>
        <w:rPr>
          <w:rFonts w:ascii="Times New Roman" w:hAnsi="Times New Roman"/>
          <w:sz w:val="20"/>
        </w:rPr>
      </w:pPr>
      <w:r>
        <w:rPr>
          <w:rFonts w:ascii="Times New Roman" w:hAnsi="Times New Roman"/>
          <w:sz w:val="20"/>
        </w:rPr>
        <w:t xml:space="preserve">This notice is being sent or given on or about October 2, 2026 pursuant to, and shall constitute notice under, Section 228(e) of the DGCL, to each stockholder from whom the Company has not received written consent for such action and who, if the action had been taken at a meeting, would have been entitled to notice of the meeting if the record date for such notice of such meeting had been the date that written consents signed by a sufficient number of stockholders to take such action were delivered to the Company as provided in Section 228(c) of the DGCL. </w:t>
      </w:r>
    </w:p>
    <w:p>
      <w:pPr>
        <w:pStyle w:val="TextBody"/>
        <w:bidi w:val="0"/>
        <w:spacing w:before="240" w:after="0"/>
        <w:jc w:val="left"/>
        <w:rPr>
          <w:rFonts w:ascii="Times New Roman" w:hAnsi="Times New Roman"/>
          <w:sz w:val="20"/>
        </w:rPr>
      </w:pPr>
      <w:r>
        <w:rPr>
          <w:rFonts w:ascii="Times New Roman" w:hAnsi="Times New Roman"/>
          <w:sz w:val="20"/>
        </w:rPr>
        <w:t xml:space="preserve">This notice is delivered solely to promptly inform you of the corporate actions described herein. The Company is not requesting stockholders to take any action at this time.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Hub Group,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P. Yeager</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David P. Yeager</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Chairman of the Board of Directors and Chief Executive Officer</w:t>
            </w:r>
          </w:p>
        </w:tc>
      </w:tr>
    </w:tbl>
    <w:p>
      <w:pPr>
        <w:pStyle w:val="TextBody"/>
        <w:bidi w:val="0"/>
        <w:spacing w:before="0" w:after="0"/>
        <w:jc w:val="right"/>
        <w:rPr>
          <w:rFonts w:ascii="Times New Roman" w:hAnsi="Times New Roman"/>
          <w:b/>
          <w:sz w:val="20"/>
        </w:rPr>
      </w:pPr>
      <w:bookmarkStart w:id="6" w:name="d118269dex992.htm"/>
      <w:bookmarkStart w:id="7" w:name="ksd118269dex992"/>
      <w:bookmarkEnd w:id="6"/>
      <w:bookmarkEnd w:id="7"/>
      <w:r>
        <w:rPr>
          <w:rFonts w:ascii="Times New Roman" w:hAnsi="Times New Roman"/>
          <w:b/>
          <w:sz w:val="20"/>
        </w:rPr>
        <w:t xml:space="preserve">Exhibit 99.2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Hub Group Announces Changes to Board of Directors </w:t>
      </w:r>
    </w:p>
    <w:p>
      <w:pPr>
        <w:pStyle w:val="TextBody"/>
        <w:bidi w:val="0"/>
        <w:spacing w:before="240" w:after="0"/>
        <w:jc w:val="left"/>
        <w:rPr>
          <w:rFonts w:ascii="Times New Roman" w:hAnsi="Times New Roman"/>
          <w:sz w:val="20"/>
        </w:rPr>
      </w:pPr>
      <w:r>
        <w:rPr>
          <w:rFonts w:ascii="Times New Roman" w:hAnsi="Times New Roman"/>
          <w:b/>
          <w:sz w:val="20"/>
        </w:rPr>
        <w:t>OAK BROOK, Ill., Oct. 2, 2026</w:t>
      </w:r>
      <w:r>
        <w:rPr>
          <w:rFonts w:ascii="Times New Roman" w:hAnsi="Times New Roman"/>
          <w:sz w:val="20"/>
        </w:rPr>
        <w:t xml:space="preserve"> — Hub Group, Inc. (Nasdaq: HUBG) (“Hub Group” or the “Company”) today announced changes to its Board of Directors (the “Board”) following an action by written consent of its controlling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2026, shareholders representing a majority of the combined voting power of the Company’s outstanding common stock, consisting of members of the Yeager family and related trusts, acted by written consent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Gregory D. Bunch, Thomas P. Fitzgerald, Thaddeus J. Malik and Thomas M. White to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Remove Michael Flannery, Peter McNitt and Gary Yablon from the Board without cause;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the Company’s Second Amended and Restated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actions took effect upon delivery of the written consent to the Company’s Corporate Secretary, in accordance with Delaware law and the Company’s bylaws. Each newly appointed director will serve until the Company’s next annual meeting of shareholders or until his earlier death, termination, resignation or removal. Following the delivery of the written consent, Mary H. Boosalis, Jenell Ross, and Martin P. Slark resigned from the Board, effective October 1, 2026. </w:t>
      </w:r>
    </w:p>
    <w:p>
      <w:pPr>
        <w:pStyle w:val="TextBody"/>
        <w:bidi w:val="0"/>
        <w:spacing w:before="240" w:after="0"/>
        <w:jc w:val="left"/>
        <w:rPr>
          <w:rFonts w:ascii="Times New Roman" w:hAnsi="Times New Roman"/>
          <w:sz w:val="20"/>
        </w:rPr>
      </w:pPr>
      <w:r>
        <w:rPr>
          <w:rFonts w:ascii="Times New Roman" w:hAnsi="Times New Roman"/>
          <w:sz w:val="20"/>
        </w:rPr>
        <w:t xml:space="preserve">The Board now consists of seven (7) directors: David P. Yeager (Chairman), Phillip D. Yeager (Vice Chairman), Gregory D. Bunch, Thomas P. Fitzgerald, James C. Kenny, Thaddeus J. Malik, and Thomas M. White. The Board intends to appoint a new Lead Independent Director as soon as practicable and will also reconstitute its standing committees.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maintain a majority-independent Board and fully independent Compensation and Nominating and Governance Committees, and will continue to meet Nasdaq and U.S. Securities and Exchange Commission (“SEC”) audit committee independence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Board changes do not affect the Company’s management team, strategy or day-to-day operations. David P. Yeager remains Chairman and Chief Executive Officer, and Phillip D. Yeager remains President and Vice Chairman. The leadership changes announced on September 14, 2026 are also unaffected.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We believe that the newly appointed directors will bring valuable perspectives and relevant expertise to the Board’s oversight of the Company’s management, business and ongoing initiatives,” said David P. Yeager. “They intend to work constructively and collaboratively with the continuing directors to advance the best interests of Hub Group and all of its stakeholders. We will remain focused on our long-term strategy to drive growth, profitability and operating cash flows, as we work to deliver for our shareholders, customers and team members.”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finance and accounting team continues to work expeditiously to complete the restatement process and file the Company’s delayed periodic reports. Hub Group continues to expect to complete this process in the fourth quarter of 2026. As previously announced, on September 16, 2026, the Company received a Staff Delisting Determination (the “Staff Determination”) from the Listing Qualifications Department of The Nasdaq Stock Market LLC (“Nasdaq”), which notified the Company that it had initiated a process to delist the Company’s Class A common stock. The Staff Determination was issued because the Company has not filed its Annual Report on Form 10-K for the year ended December 31, 2025 and its Quarterly Reports on Form 10-Q for the periods ended March 31, 2026 and June 30, 2026, and therefore is not in compliance with Nasdaq Listing Rule 5250(c)(1). Receipt of the Staff Determination did not immediately result in the suspension of trading or delisting of the Company’s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appealed the Staff Determination by requesting a hearing before the Nasdaq Hearings Panel. The Company requested, and has been granted, a stay of the delisting action pending the outcome of the hearing currently scheduled for October 27, 2026.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is included in the Company’s Current Report on Form 8-K filed with the SEC on October 2, 2026. </w:t>
      </w:r>
    </w:p>
    <w:p>
      <w:pPr>
        <w:pStyle w:val="TextBody"/>
        <w:bidi w:val="0"/>
        <w:spacing w:before="360" w:after="0"/>
        <w:jc w:val="left"/>
        <w:rPr>
          <w:rFonts w:ascii="Times New Roman" w:hAnsi="Times New Roman"/>
          <w:b/>
          <w:sz w:val="20"/>
        </w:rPr>
      </w:pPr>
      <w:r>
        <w:rPr>
          <w:rFonts w:ascii="Times New Roman" w:hAnsi="Times New Roman"/>
          <w:b/>
          <w:sz w:val="20"/>
        </w:rPr>
        <w:t xml:space="preserve">Biographies of the Newly Appointed Directors </w:t>
      </w:r>
    </w:p>
    <w:p>
      <w:pPr>
        <w:pStyle w:val="TextBody"/>
        <w:bidi w:val="0"/>
        <w:spacing w:before="120" w:after="0"/>
        <w:jc w:val="left"/>
        <w:rPr>
          <w:rFonts w:ascii="Times New Roman" w:hAnsi="Times New Roman"/>
          <w:b/>
          <w:sz w:val="20"/>
        </w:rPr>
      </w:pPr>
      <w:r>
        <w:rPr>
          <w:rFonts w:ascii="Times New Roman" w:hAnsi="Times New Roman"/>
          <w:b/>
          <w:sz w:val="20"/>
        </w:rPr>
        <w:t xml:space="preserve">Gregory D. Bunch </w:t>
      </w:r>
    </w:p>
    <w:p>
      <w:pPr>
        <w:pStyle w:val="TextBody"/>
        <w:bidi w:val="0"/>
        <w:spacing w:before="120" w:after="0"/>
        <w:jc w:val="left"/>
        <w:rPr>
          <w:rFonts w:ascii="Times New Roman" w:hAnsi="Times New Roman"/>
          <w:sz w:val="20"/>
        </w:rPr>
      </w:pPr>
      <w:r>
        <w:rPr>
          <w:rFonts w:ascii="Times New Roman" w:hAnsi="Times New Roman"/>
          <w:sz w:val="20"/>
        </w:rPr>
        <w:t xml:space="preserve">Mr. Bunch, age 67, has served as an Adjunct Professor of Entrepreneurship at the University of Chicago Booth School of Business for nearly twenty (20) years, teaching entrepreneurship, growth strategy, competitive strategy, innovation, marketing and mergers and acquisitions in both the MBA program and Executive Education. He is also the owner of Gregory Bunch Consulting, a management consulting firm. Mr. Bunch was the founder and Chief Executive Officer of Masterplan International Corporation, a strategy consultancy, from 1998 to 2018, and co-founded Oration Health, a healthcare software-as-a-service business. He was also a partner in Brandtrust, a brand strategy consultancy. Over the course of his career, he has advised hundreds of startups and dozens of publicly and privately held corporations, and has served as an Independent Trustee of Elkhorn Investments from its founding until its sale to Innovator, as well as on advisory boards for companies in the financial services, consulting, retail, franchising and marketing industries. Mr. Bunch has lectured nationally and internationally on topics related to strategy, creating customers and innovation. He earned a bachelor’s degree in philosophy from Wheaton College and an MDiv from Harvard University.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Thomas P. Fitzgerald </w:t>
      </w:r>
    </w:p>
    <w:p>
      <w:pPr>
        <w:pStyle w:val="TextBody"/>
        <w:bidi w:val="0"/>
        <w:spacing w:before="120" w:after="0"/>
        <w:jc w:val="left"/>
        <w:rPr>
          <w:rFonts w:ascii="Times New Roman" w:hAnsi="Times New Roman"/>
          <w:sz w:val="20"/>
        </w:rPr>
      </w:pPr>
      <w:r>
        <w:rPr>
          <w:rFonts w:ascii="Times New Roman" w:hAnsi="Times New Roman"/>
          <w:sz w:val="20"/>
        </w:rPr>
        <w:t xml:space="preserve">Mr. Fitzgerald, age 72, was a partner at Winston Taylor LLP (formerly known as Winston &amp; Strawn LLP), an international law firm. From 2006 to June 2024, Mr. Fitzgerald served as Chairman and Managing Partner of the firm’s Executive Committee. Under his leadership, the firm opened ten (10) offices on three continents and significantly expanded its practice and sector offerings, including in private equity, finance, funds, intellectual property, complex commercial litigation and real estate. Over the course of his tenure, Mr. Fitzgerald also advanced the firm’s client initiatives in the financial services, technology, energy, and life sciences sectors. Mr. Fitzgerald holds a B.A. from the University of Notre Dame and a J.D., with honors, from the Notre Dame Law School. </w:t>
      </w:r>
    </w:p>
    <w:p>
      <w:pPr>
        <w:pStyle w:val="TextBody"/>
        <w:bidi w:val="0"/>
        <w:spacing w:before="360" w:after="0"/>
        <w:jc w:val="left"/>
        <w:rPr>
          <w:rFonts w:ascii="Times New Roman" w:hAnsi="Times New Roman"/>
          <w:b/>
          <w:sz w:val="20"/>
        </w:rPr>
      </w:pPr>
      <w:r>
        <w:rPr>
          <w:rFonts w:ascii="Times New Roman" w:hAnsi="Times New Roman"/>
          <w:b/>
          <w:sz w:val="20"/>
        </w:rPr>
        <w:t xml:space="preserve">Thaddeus J. Malik </w:t>
      </w:r>
    </w:p>
    <w:p>
      <w:pPr>
        <w:pStyle w:val="TextBody"/>
        <w:bidi w:val="0"/>
        <w:spacing w:before="120" w:after="0"/>
        <w:jc w:val="left"/>
        <w:rPr>
          <w:rFonts w:ascii="Times New Roman" w:hAnsi="Times New Roman"/>
          <w:sz w:val="20"/>
        </w:rPr>
      </w:pPr>
      <w:r>
        <w:rPr>
          <w:rFonts w:ascii="Times New Roman" w:hAnsi="Times New Roman"/>
          <w:sz w:val="20"/>
        </w:rPr>
        <w:t xml:space="preserve">Mr. Malik, age 59, has served as President and Principal of S2T Solutions LLC, a transactional advisory services company, since 2022. Previously, he was a partner at Paul Hastings LLP, an international law firm, from 2010 to 2022, a partner at Jenner &amp; Block LLP from 2002 to 2010, and Vice President and General Counsel of Lante Corporation, a formerly publicly traded technology consulting company, from 2000 to 2002. Mr. Malik has more than thirty (30) years of experience as a corporate and securities advisor to boards and committees of public companies and as a mergers and acquisitions attorney. He has served as an independent director of CenterPoint Energy, Inc. (NYSE: CNP) since September 2023, where he currently serves on the Corporate Governance and Nominating Committee and the Human Capital and Compensation Committee and previously served on the Audit and Compliance Committee and the Safety and Operations Committee. He also served as an independent director of Health Care Service Corporation, the parent of Blue Cross and Blue Shield of Illinois, Texas, Montana, Oklahoma and New Mexico, from 2019 to 2025. Mr. Malik holds a B.A. from Northwestern University and a J.D. from Harvard Law School, and has earned director certifications from the National Association of Corporate Directors and Harvard Business School, as well as the CERT Certificate in Cybersecurity Oversight from the Carnegie Mellon University Software Engineering Institute. </w:t>
      </w:r>
    </w:p>
    <w:p>
      <w:pPr>
        <w:pStyle w:val="TextBody"/>
        <w:bidi w:val="0"/>
        <w:spacing w:before="360" w:after="0"/>
        <w:jc w:val="left"/>
        <w:rPr>
          <w:rFonts w:ascii="Times New Roman" w:hAnsi="Times New Roman"/>
          <w:b/>
          <w:sz w:val="20"/>
        </w:rPr>
      </w:pPr>
      <w:r>
        <w:rPr>
          <w:rFonts w:ascii="Times New Roman" w:hAnsi="Times New Roman"/>
          <w:b/>
          <w:sz w:val="20"/>
        </w:rPr>
        <w:t xml:space="preserve">Thomas M. White </w:t>
      </w:r>
    </w:p>
    <w:p>
      <w:pPr>
        <w:pStyle w:val="TextBody"/>
        <w:bidi w:val="0"/>
        <w:spacing w:before="120" w:after="0"/>
        <w:jc w:val="left"/>
        <w:rPr>
          <w:rFonts w:ascii="Times New Roman" w:hAnsi="Times New Roman"/>
          <w:sz w:val="20"/>
        </w:rPr>
      </w:pPr>
      <w:r>
        <w:rPr>
          <w:rFonts w:ascii="Times New Roman" w:hAnsi="Times New Roman"/>
          <w:sz w:val="20"/>
        </w:rPr>
        <w:t xml:space="preserve">Mr. White, age 69, is a global business leader and experienced board member with over forty five (45) years of experience in financial and operational management. Mr. White previously served as the Company’s Chief Financial Officer and Senior Vice President from 2002 to 2007. From 2007 to 2014, he served as an Operating Partner of Apollo Global Management, Inc. (NYSE: APO), a leading global alternative investment manager, where he assumed senior leadership positions in key portfolio companies, including as Interim Chief Operating Officer and Interim Chief Financial Officer of CEVA Logistics and Interim Chief Financial Officer of Constellium N.V. (NYSE: CSTM). Previously, Mr. White served for twenty three (23) years at Arthur Andersen LLP, where he held leadership positions including Global Managing Partner of Business Process Outsourcing and Office Managing Partner. Mr. White served as Chairman of the Board of Directors of Sterling Infrastructure, Inc. (Nasdaq: STRL) from 2019 to 2024, and has served as a member of the board of directors of JPW Industries, a private industrial machinery company. Mr. White holds a B.B.A. in Accountancy from Western Michigan University and an M.S. in Business Administration from Purdue University.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Certain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that are not historical facts are forward-looking statements, provided pursuant to the safe harbor established under the Private Securities Litigation Reform Act of 1995, including statements regarding the outcome of the Company’s appeal to the Nasdaq Hearings Panel, the Company’s plans to regain full compliance with Nasdaq’s continued listing requirements, and any other statements regarding Hub Group’s future expectations, beliefs, plans, objectives, financial conditions, assumptions or future events or performance that are not historical facts.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not guarantees of future performance and involve risks, uncertainties and other factors that might cause the actual performance of Hub Group to differ materially from those expressed or implied by such forward-looking statements. These risks and uncertainties include, but are not limited to: the Company’s ability to complete the previously-announced restatement of its financial statements and regain compliance with Nasdaq’s listing rules; unanticipated delays that cause the Company’s delinquent periodic reports to be filed later than currently expected; the risk that the Company’s request to Nasdaq for an extended stay of the delisting action will not be granted or that its plan to regain compliance with Nasdaq’s continued listing requirements will not be accepted by the Nasdaq Hearings Panel or, if accepted, will not allow for sufficient time for the Company to regain compliance; the impact that the restatement process and further delays in the financial close process or the related audit may have on Hub Group’s business, financial condition and results of operations; and other risks discussed under the “Risk Factors” section in Hub Group’s most recently filed periodic reports on Form 10-K and Form 10-Q and subsequent filings.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speak only as of the date hereof and Hub Group assumes no obligation to update any such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About Hub Group </w:t>
      </w:r>
    </w:p>
    <w:p>
      <w:pPr>
        <w:pStyle w:val="TextBody"/>
        <w:bidi w:val="0"/>
        <w:spacing w:before="120" w:after="0"/>
        <w:jc w:val="left"/>
        <w:rPr>
          <w:rFonts w:ascii="Times New Roman" w:hAnsi="Times New Roman"/>
          <w:sz w:val="20"/>
        </w:rPr>
      </w:pPr>
      <w:r>
        <w:rPr>
          <w:rFonts w:ascii="Times New Roman" w:hAnsi="Times New Roman"/>
          <w:sz w:val="20"/>
        </w:rPr>
        <w:t xml:space="preserve">Hub Group offers comprehensive transportation and logistics management solutions. Keeping our customers’ needs in focus, Hub Group designs, continually optimizes, and applies industry-leading technology to our customers’ supply chains for better service, greater efficiency, and total visibility. As an award-winning, publicly traded company (Nasdaq: HUBG), our approximately 6,000 employees and drivers across the globe are always in pursuit of “The Way Ahead” – a commitment to service, integrity and innovation. For more information, visit hubgroup.com. </w:t>
      </w:r>
    </w:p>
    <w:p>
      <w:pPr>
        <w:pStyle w:val="TextBody"/>
        <w:bidi w:val="0"/>
        <w:spacing w:before="240" w:after="0"/>
        <w:jc w:val="left"/>
        <w:rPr>
          <w:rFonts w:ascii="Times New Roman" w:hAnsi="Times New Roman"/>
          <w:sz w:val="20"/>
        </w:rPr>
      </w:pPr>
      <w:r>
        <w:rPr>
          <w:rFonts w:ascii="Times New Roman" w:hAnsi="Times New Roman"/>
          <w:sz w:val="20"/>
        </w:rPr>
        <w:t xml:space="preserve">CONTACT: </w:t>
      </w:r>
    </w:p>
    <w:p>
      <w:pPr>
        <w:pStyle w:val="TextBody"/>
        <w:bidi w:val="0"/>
        <w:spacing w:before="240" w:after="0"/>
        <w:jc w:val="left"/>
        <w:rPr>
          <w:rFonts w:ascii="Times New Roman" w:hAnsi="Times New Roman"/>
          <w:sz w:val="20"/>
        </w:rPr>
      </w:pPr>
      <w:r>
        <w:rPr>
          <w:rFonts w:ascii="Times New Roman" w:hAnsi="Times New Roman"/>
          <w:sz w:val="20"/>
        </w:rPr>
        <w:t xml:space="preserve">Garrett Holland, </w:t>
      </w:r>
      <w:r>
        <w:rPr>
          <w:rFonts w:ascii="Times New Roman" w:hAnsi="Times New Roman"/>
          <w:sz w:val="20"/>
          <w:u w:val="single"/>
        </w:rPr>
        <w:t>InvestorRelations@hubgroup.com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OR </w:t>
      </w:r>
    </w:p>
    <w:p>
      <w:pPr>
        <w:pStyle w:val="TextBody"/>
        <w:bidi w:val="0"/>
        <w:spacing w:before="240" w:after="0"/>
        <w:jc w:val="left"/>
        <w:rPr>
          <w:rFonts w:ascii="Times New Roman" w:hAnsi="Times New Roman"/>
          <w:sz w:val="20"/>
        </w:rPr>
      </w:pPr>
      <w:r>
        <w:rPr>
          <w:rFonts w:ascii="Times New Roman" w:hAnsi="Times New Roman"/>
          <w:sz w:val="20"/>
        </w:rPr>
        <w:t xml:space="preserve">Longacre Square Partners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HUBG@longacresquare.com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14076</Words>
  <Characters>71851</Characters>
  <CharactersWithSpaces>86048</CharactersWithSpaces>
  <Paragraphs>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