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1774dnt10q.htm"/>
      <w:bookmarkStart w:id="1" w:name="ksd131774dnt10q"/>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12b-25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NOTIFICATION OF LATE FILING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59"/>
        <w:gridCol w:w="101"/>
        <w:gridCol w:w="7145"/>
      </w:tblGrid>
      <w:tr>
        <w:trPr/>
        <w:tc>
          <w:tcPr>
            <w:tcW w:w="295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45" w:type="dxa"/>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right"/>
              <w:rPr>
                <w:i/>
              </w:rPr>
            </w:pPr>
            <w:r>
              <w:rPr>
                <w:i/>
              </w:rPr>
              <w:t>(Check one): </w:t>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0"/>
              <w:jc w:val="left"/>
              <w:rPr/>
            </w:pPr>
            <w:r>
              <w:rPr/>
              <w:t>☐ </w:t>
            </w:r>
            <w:r>
              <w:rPr>
                <w:rFonts w:ascii="Times New Roman" w:hAnsi="Times New Roman"/>
                <w:sz w:val="20"/>
              </w:rPr>
              <w:t>Form 10-K  ☐ Form 20-F  ☐ Form 11-K </w:t>
            </w:r>
          </w:p>
          <w:p>
            <w:pPr>
              <w:pStyle w:val="TableContents"/>
              <w:bidi w:val="0"/>
              <w:spacing w:before="0" w:after="20"/>
              <w:jc w:val="left"/>
              <w:rPr/>
            </w:pPr>
            <w:r>
              <w:rPr/>
              <w:t>☒ </w:t>
            </w:r>
            <w:r>
              <w:rPr>
                <w:rFonts w:ascii="Times New Roman" w:hAnsi="Times New Roman"/>
                <w:sz w:val="20"/>
              </w:rPr>
              <w:t>Form 10-Q  ☐ Form 10-D  ☐ Form N-CEN  ☐ Form N-CSR</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Period Ended: June 30, 2026</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20-F</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11-K</w:t>
            </w:r>
          </w:p>
        </w:tc>
      </w:tr>
      <w:tr>
        <w:trPr>
          <w:trHeight w:val="3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☐ </w:t>
            </w:r>
            <w:r>
              <w:rPr/>
              <w:t>Transition Report on Form 10-Q</w:t>
            </w:r>
          </w:p>
        </w:tc>
      </w:tr>
      <w:tr>
        <w:trPr>
          <w:trHeight w:val="120" w:hRule="atLeast"/>
        </w:trPr>
        <w:tc>
          <w:tcPr>
            <w:tcW w:w="2959" w:type="dxa"/>
            <w:tcBorders/>
            <w:vAlign w:val="center"/>
          </w:tcPr>
          <w:p>
            <w:pPr>
              <w:pStyle w:val="TableContents"/>
              <w:bidi w:val="0"/>
              <w:spacing w:before="0" w:after="283"/>
              <w:jc w:val="left"/>
              <w:rPr>
                <w:sz w:val="4"/>
                <w:szCs w:val="4"/>
              </w:rPr>
            </w:pPr>
            <w:r>
              <w:rPr>
                <w:sz w:val="4"/>
                <w:szCs w:val="4"/>
              </w:rPr>
            </w:r>
          </w:p>
        </w:tc>
        <w:tc>
          <w:tcPr>
            <w:tcW w:w="7246" w:type="dxa"/>
            <w:gridSpan w:val="2"/>
            <w:tcBorders/>
            <w:vAlign w:val="center"/>
          </w:tcPr>
          <w:p>
            <w:pPr>
              <w:pStyle w:val="TableContents"/>
              <w:bidi w:val="0"/>
              <w:spacing w:before="0" w:after="283"/>
              <w:jc w:val="left"/>
              <w:rPr>
                <w:sz w:val="4"/>
                <w:szCs w:val="4"/>
              </w:rPr>
            </w:pPr>
            <w:r>
              <w:rPr>
                <w:sz w:val="4"/>
                <w:szCs w:val="4"/>
              </w:rPr>
            </w:r>
          </w:p>
        </w:tc>
      </w:tr>
      <w:tr>
        <w:trPr/>
        <w:tc>
          <w:tcPr>
            <w:tcW w:w="2959"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7145" w:type="dxa"/>
            <w:tcBorders/>
            <w:vAlign w:val="bottom"/>
          </w:tcPr>
          <w:p>
            <w:pPr>
              <w:pStyle w:val="TableContents"/>
              <w:bidi w:val="0"/>
              <w:spacing w:before="0" w:after="283"/>
              <w:jc w:val="left"/>
              <w:rPr/>
            </w:pPr>
            <w:r>
              <w:rPr/>
              <w:t>For the Transition Period Ended: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r>
      <w:tr>
        <w:trPr/>
        <w:tc>
          <w:tcPr>
            <w:tcW w:w="10205" w:type="dxa"/>
            <w:tcBorders>
              <w:left w:val="single" w:sz="2" w:space="0" w:color="000000"/>
              <w:bottom w:val="single" w:sz="2" w:space="0" w:color="000000"/>
              <w:right w:val="single" w:sz="2" w:space="0" w:color="000000"/>
            </w:tcBorders>
            <w:tcMar>
              <w:left w:w="160" w:type="dxa"/>
              <w:bottom w:w="28" w:type="dxa"/>
              <w:right w:w="40" w:type="dxa"/>
            </w:tcMar>
          </w:tcPr>
          <w:p>
            <w:pPr>
              <w:pStyle w:val="TableContents"/>
              <w:bidi w:val="0"/>
              <w:spacing w:before="0" w:after="0"/>
              <w:jc w:val="center"/>
              <w:rPr>
                <w:rFonts w:ascii="Times New Roman" w:hAnsi="Times New Roman"/>
                <w:i/>
                <w:sz w:val="20"/>
              </w:rPr>
            </w:pPr>
            <w:r>
              <w:rPr>
                <w:rFonts w:ascii="Times New Roman" w:hAnsi="Times New Roman"/>
                <w:i/>
                <w:sz w:val="20"/>
              </w:rPr>
              <w:t>Read Instruction (on back page) Before Preparing Form. Please Print or Type.</w:t>
            </w:r>
          </w:p>
          <w:p>
            <w:pPr>
              <w:pStyle w:val="TableContents"/>
              <w:bidi w:val="0"/>
              <w:spacing w:before="0" w:after="0"/>
              <w:jc w:val="center"/>
              <w:rPr>
                <w:rFonts w:ascii="Times New Roman" w:hAnsi="Times New Roman"/>
                <w:b/>
                <w:sz w:val="20"/>
              </w:rPr>
            </w:pPr>
            <w:r>
              <w:rPr>
                <w:rFonts w:ascii="Times New Roman" w:hAnsi="Times New Roman"/>
                <w:b/>
                <w:sz w:val="20"/>
              </w:rPr>
              <w:t>Nothing in this Form shall be construed to imply that the Commission has verified any information contained herein.</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notification relates to a portion of the filing checked above, identify the Item(s) to which the notification relates: </w:t>
      </w:r>
    </w:p>
    <w:p>
      <w:pPr>
        <w:pStyle w:val="TextBody"/>
        <w:bidi w:val="0"/>
        <w:spacing w:before="0" w:after="0"/>
        <w:jc w:val="left"/>
        <w:rPr/>
      </w:pPr>
      <w:r>
        <w:rPr/>
        <w:t> </w:t>
      </w:r>
    </w:p>
    <w:p>
      <w:pPr>
        <w:pStyle w:val="TextBody"/>
        <w:bidi w:val="0"/>
        <w:spacing w:before="12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360" w:after="0"/>
        <w:jc w:val="center"/>
        <w:rPr>
          <w:rFonts w:ascii="Times New Roman" w:hAnsi="Times New Roman"/>
          <w:b/>
          <w:sz w:val="20"/>
        </w:rPr>
      </w:pPr>
      <w:r>
        <w:rPr>
          <w:rFonts w:ascii="Times New Roman" w:hAnsi="Times New Roman"/>
          <w:b/>
          <w:sz w:val="20"/>
        </w:rPr>
        <w:t xml:space="preserve">PART I — REGISTRANT INFORMATION </w:t>
      </w:r>
    </w:p>
    <w:p>
      <w:pPr>
        <w:pStyle w:val="TextBody"/>
        <w:bidi w:val="0"/>
        <w:spacing w:before="240" w:after="0"/>
        <w:jc w:val="center"/>
        <w:rPr>
          <w:rFonts w:ascii="Times New Roman" w:hAnsi="Times New Roman"/>
          <w:b/>
          <w:sz w:val="44"/>
        </w:rPr>
      </w:pPr>
      <w:r>
        <w:rPr>
          <w:rFonts w:ascii="Times New Roman" w:hAnsi="Times New Roman"/>
          <w:b/>
          <w:sz w:val="44"/>
        </w:rPr>
        <w:t xml:space="preserve">Hub Group, Inc. </w:t>
      </w:r>
    </w:p>
    <w:p>
      <w:pPr>
        <w:pStyle w:val="TextBody"/>
        <w:bidi w:val="0"/>
        <w:spacing w:before="0" w:after="0"/>
        <w:jc w:val="center"/>
        <w:rPr>
          <w:rFonts w:ascii="Times New Roman" w:hAnsi="Times New Roman"/>
          <w:sz w:val="20"/>
        </w:rPr>
      </w:pPr>
      <w:r>
        <w:rPr>
          <w:rFonts w:ascii="Times New Roman" w:hAnsi="Times New Roman"/>
          <w:sz w:val="20"/>
        </w:rPr>
        <w:t xml:space="preserve">(Full Name of Registrant) </w:t>
      </w:r>
    </w:p>
    <w:p>
      <w:pPr>
        <w:pStyle w:val="TextBody"/>
        <w:bidi w:val="0"/>
        <w:spacing w:before="240" w:after="0"/>
        <w:jc w:val="center"/>
        <w:rPr>
          <w:rFonts w:ascii="Times New Roman" w:hAnsi="Times New Roman"/>
          <w:sz w:val="16"/>
        </w:rPr>
      </w:pPr>
      <w:r>
        <w:rPr>
          <w:rFonts w:ascii="Times New Roman" w:hAnsi="Times New Roman"/>
          <w:sz w:val="16"/>
        </w:rPr>
        <w:t xml:space="preserve">(Former Name if Applicable) </w:t>
      </w:r>
    </w:p>
    <w:p>
      <w:pPr>
        <w:pStyle w:val="TextBody"/>
        <w:bidi w:val="0"/>
        <w:spacing w:before="240" w:after="0"/>
        <w:jc w:val="center"/>
        <w:rPr>
          <w:rFonts w:ascii="Times New Roman" w:hAnsi="Times New Roman"/>
          <w:b/>
          <w:sz w:val="20"/>
        </w:rPr>
      </w:pPr>
      <w:r>
        <w:rPr>
          <w:rFonts w:ascii="Times New Roman" w:hAnsi="Times New Roman"/>
          <w:b/>
          <w:sz w:val="20"/>
        </w:rPr>
        <w:t xml:space="preserve">2001 Hub Group Way </w:t>
      </w:r>
    </w:p>
    <w:p>
      <w:pPr>
        <w:pStyle w:val="TextBody"/>
        <w:bidi w:val="0"/>
        <w:spacing w:before="0" w:after="0"/>
        <w:jc w:val="center"/>
        <w:rPr>
          <w:rFonts w:ascii="Times New Roman" w:hAnsi="Times New Roman"/>
          <w:sz w:val="16"/>
        </w:rPr>
      </w:pPr>
      <w:r>
        <w:rPr>
          <w:rFonts w:ascii="Times New Roman" w:hAnsi="Times New Roman"/>
          <w:sz w:val="16"/>
        </w:rPr>
        <w:t xml:space="preserve">(Address of Principal Executive Office (Street and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Oak Brook, Illinois 60523 </w:t>
      </w:r>
    </w:p>
    <w:p>
      <w:pPr>
        <w:pStyle w:val="TextBody"/>
        <w:bidi w:val="0"/>
        <w:spacing w:before="0" w:after="0"/>
        <w:jc w:val="center"/>
        <w:rPr>
          <w:rFonts w:ascii="Times New Roman" w:hAnsi="Times New Roman"/>
          <w:sz w:val="16"/>
        </w:rPr>
      </w:pPr>
      <w:r>
        <w:rPr>
          <w:rFonts w:ascii="Times New Roman" w:hAnsi="Times New Roman"/>
          <w:sz w:val="16"/>
        </w:rPr>
        <w:t xml:space="preserve">(City, State and Zip Code) </w:t>
      </w:r>
    </w:p>
    <w:p>
      <w:pPr>
        <w:pStyle w:val="TextBody"/>
        <w:bidi w:val="0"/>
        <w:spacing w:before="360" w:after="0"/>
        <w:jc w:val="center"/>
        <w:rPr>
          <w:rFonts w:ascii="Times New Roman" w:hAnsi="Times New Roman"/>
          <w:b/>
          <w:sz w:val="20"/>
        </w:rPr>
      </w:pPr>
      <w:r>
        <w:rPr>
          <w:rFonts w:ascii="Times New Roman" w:hAnsi="Times New Roman"/>
          <w:b/>
          <w:sz w:val="20"/>
        </w:rPr>
        <w:t xml:space="preserve">PART II — RULES 12b-25(b) AND (c) </w:t>
      </w:r>
    </w:p>
    <w:p>
      <w:pPr>
        <w:pStyle w:val="TextBody"/>
        <w:bidi w:val="0"/>
        <w:spacing w:before="120" w:after="0"/>
        <w:jc w:val="left"/>
        <w:rPr>
          <w:rFonts w:ascii="Times New Roman" w:hAnsi="Times New Roman"/>
          <w:sz w:val="20"/>
        </w:rPr>
      </w:pPr>
      <w:r>
        <w:rPr>
          <w:rFonts w:ascii="Times New Roman" w:hAnsi="Times New Roman"/>
          <w:sz w:val="20"/>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5"/>
        <w:gridCol w:w="104"/>
        <w:gridCol w:w="215"/>
        <w:gridCol w:w="104"/>
        <w:gridCol w:w="9467"/>
      </w:tblGrid>
      <w:tr>
        <w:trPr/>
        <w:tc>
          <w:tcPr>
            <w:tcW w:w="3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9467" w:type="dxa"/>
            <w:tcBorders/>
            <w:vAlign w:val="center"/>
          </w:tcPr>
          <w:p>
            <w:pPr>
              <w:pStyle w:val="TableContents"/>
              <w:bidi w:val="0"/>
              <w:spacing w:before="0" w:after="283"/>
              <w:jc w:val="left"/>
              <w:rPr>
                <w:sz w:val="4"/>
                <w:szCs w:val="4"/>
              </w:rPr>
            </w:pPr>
            <w:r>
              <w:rPr>
                <w:sz w:val="4"/>
                <w:szCs w:val="4"/>
              </w:rPr>
            </w:r>
          </w:p>
        </w:tc>
      </w:tr>
      <w:tr>
        <w:trPr/>
        <w:tc>
          <w:tcPr>
            <w:tcW w:w="315" w:type="dxa"/>
            <w:vMerge w:val="restart"/>
            <w:tcBorders>
              <w:right w:val="single" w:sz="2" w:space="0" w:color="000000"/>
            </w:tcBorders>
            <w:tcMar>
              <w:right w:w="28" w:type="dxa"/>
            </w:tcMar>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(a)</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reason described in reasonable detail in Part III of this Form could not be eliminated without unreasonable effort or expense;</w:t>
            </w:r>
          </w:p>
        </w:tc>
      </w:tr>
      <w:tr>
        <w:trPr/>
        <w:tc>
          <w:tcPr>
            <w:tcW w:w="315" w:type="dxa"/>
            <w:vMerge w:val="continue"/>
            <w:tcBorders>
              <w:right w:val="single" w:sz="2" w:space="0" w:color="000000"/>
            </w:tcBorders>
            <w:tcMar>
              <w:right w:w="28" w:type="dxa"/>
            </w:tcMar>
            <w:vAlign w:val="center"/>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(b)</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315" w:type="dxa"/>
            <w:vMerge w:val="continue"/>
            <w:tcBorders>
              <w:right w:val="single" w:sz="2" w:space="0" w:color="000000"/>
            </w:tcBorders>
            <w:tcMar>
              <w:right w:w="28" w:type="dxa"/>
            </w:tcMar>
            <w:vAlign w:val="center"/>
          </w:tcPr>
          <w:p>
            <w:pPr>
              <w:pStyle w:val="Normal"/>
              <w:bidi w:val="0"/>
              <w:jc w:val="left"/>
              <w:rPr/>
            </w:pPr>
            <w:r>
              <w:rPr/>
            </w:r>
          </w:p>
        </w:tc>
        <w:tc>
          <w:tcPr>
            <w:tcW w:w="104" w:type="dxa"/>
            <w:tcBorders/>
            <w:vAlign w:val="bottom"/>
          </w:tcPr>
          <w:p>
            <w:pPr>
              <w:pStyle w:val="TableContents"/>
              <w:bidi w:val="0"/>
              <w:spacing w:before="0" w:after="283"/>
              <w:jc w:val="left"/>
              <w:rPr/>
            </w:pPr>
            <w:r>
              <w:rPr/>
              <w:t> </w:t>
            </w:r>
          </w:p>
        </w:tc>
        <w:tc>
          <w:tcPr>
            <w:tcW w:w="215" w:type="dxa"/>
            <w:tcBorders/>
          </w:tcPr>
          <w:p>
            <w:pPr>
              <w:pStyle w:val="TableContents"/>
              <w:bidi w:val="0"/>
              <w:spacing w:before="0" w:after="283"/>
              <w:jc w:val="left"/>
              <w:rPr/>
            </w:pPr>
            <w:r>
              <w:rPr/>
              <w:t>(c)</w:t>
            </w:r>
          </w:p>
        </w:tc>
        <w:tc>
          <w:tcPr>
            <w:tcW w:w="104" w:type="dxa"/>
            <w:tcBorders/>
            <w:vAlign w:val="bottom"/>
          </w:tcPr>
          <w:p>
            <w:pPr>
              <w:pStyle w:val="TableContents"/>
              <w:bidi w:val="0"/>
              <w:spacing w:before="0" w:after="283"/>
              <w:jc w:val="left"/>
              <w:rPr/>
            </w:pPr>
            <w:r>
              <w:rPr/>
              <w:t> </w:t>
            </w:r>
          </w:p>
        </w:tc>
        <w:tc>
          <w:tcPr>
            <w:tcW w:w="9467" w:type="dxa"/>
            <w:tcBorders/>
          </w:tcPr>
          <w:p>
            <w:pPr>
              <w:pStyle w:val="TableContents"/>
              <w:bidi w:val="0"/>
              <w:spacing w:before="0" w:after="283"/>
              <w:jc w:val="left"/>
              <w:rPr/>
            </w:pPr>
            <w:r>
              <w:rPr/>
              <w:t>The accountant’s statement or other exhibit required by Rule 12b-25(c) has been attached if applicable.</w:t>
            </w:r>
          </w:p>
        </w:tc>
      </w:tr>
    </w:tbl>
    <w:p>
      <w:pPr>
        <w:pStyle w:val="TextBody"/>
        <w:bidi w:val="0"/>
        <w:spacing w:before="360" w:after="0"/>
        <w:jc w:val="center"/>
        <w:rPr>
          <w:rFonts w:ascii="Times New Roman" w:hAnsi="Times New Roman"/>
          <w:b/>
          <w:sz w:val="20"/>
        </w:rPr>
      </w:pPr>
      <w:r>
        <w:br w:type="page"/>
      </w:r>
      <w:r>
        <w:rPr>
          <w:rFonts w:ascii="Times New Roman" w:hAnsi="Times New Roman"/>
          <w:b/>
          <w:sz w:val="20"/>
        </w:rPr>
        <w:t xml:space="preserve">PART III — NARRATIVE </w:t>
      </w:r>
    </w:p>
    <w:p>
      <w:pPr>
        <w:pStyle w:val="TextBody"/>
        <w:bidi w:val="0"/>
        <w:spacing w:before="240" w:after="0"/>
        <w:jc w:val="left"/>
        <w:rPr>
          <w:rFonts w:ascii="Times New Roman" w:hAnsi="Times New Roman"/>
          <w:sz w:val="20"/>
        </w:rPr>
      </w:pPr>
      <w:r>
        <w:rPr>
          <w:rFonts w:ascii="Times New Roman" w:hAnsi="Times New Roman"/>
          <w:sz w:val="20"/>
        </w:rPr>
        <w:t xml:space="preserve">State below in reasonable detail why Forms 10-K, 20-F, 11-K, 10-Q, 10-D, N-CEN, N-CSR, or the transition report or portion thereof, could not be filed within the prescribed time period. </w:t>
      </w:r>
    </w:p>
    <w:p>
      <w:pPr>
        <w:pStyle w:val="TextBody"/>
        <w:bidi w:val="0"/>
        <w:spacing w:before="240" w:after="0"/>
        <w:jc w:val="left"/>
        <w:rPr>
          <w:rFonts w:ascii="Times New Roman" w:hAnsi="Times New Roman"/>
          <w:sz w:val="20"/>
        </w:rPr>
      </w:pPr>
      <w:r>
        <w:rPr>
          <w:rFonts w:ascii="Times New Roman" w:hAnsi="Times New Roman"/>
          <w:sz w:val="20"/>
        </w:rPr>
        <w:t xml:space="preserve">Hub Group, Inc. (the “Company”) is unable to file its Quarterly Report on Form 10-Q for the quarter ended June 30, 2026 (the “Q2 2026 Form 10-Q”) within the prescribed time period, without unreasonable effort and expense, as a result of the delay in the filing of its Annual Report on Form 10-K for the fiscal year ended December 31, 2025 (the “2025 Form 10-K”). The delay in filing the 2025 Form 10-K has resulted in a corresponding delay in the preparation and completion of the Q2 2026 Form 10-Q.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working diligently to complete the restatement of its consolidated financial statements for the years ended December 31, 2024 and 2023 and the quarterly periods ended March 31, 2025, June 30, 2025 and September 30, 2025 and the financial close process and related audit of its consolidated financial statements for the year ended December 31, 2025, each of which must be completed prior to the filing of the 2025 Form 10-K. The Company expects to file the Q2 2026 Form 10-Q as soon as practicable after the filing of the 2025 Form 10-K and its Quarterly Report on Form 10-Q for the quarter ended March 31, 2026. </w:t>
      </w:r>
    </w:p>
    <w:p>
      <w:pPr>
        <w:pStyle w:val="TextBody"/>
        <w:bidi w:val="0"/>
        <w:spacing w:before="480" w:after="0"/>
        <w:jc w:val="center"/>
        <w:rPr>
          <w:rFonts w:ascii="Times New Roman" w:hAnsi="Times New Roman"/>
          <w:b/>
          <w:sz w:val="20"/>
        </w:rPr>
      </w:pPr>
      <w:r>
        <w:rPr>
          <w:rFonts w:ascii="Times New Roman" w:hAnsi="Times New Roman"/>
          <w:b/>
          <w:sz w:val="20"/>
        </w:rPr>
        <w:t xml:space="preserve">PART IV — OTHER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5"/>
        <w:gridCol w:w="106"/>
        <w:gridCol w:w="290"/>
        <w:gridCol w:w="106"/>
        <w:gridCol w:w="3256"/>
        <w:gridCol w:w="106"/>
        <w:gridCol w:w="290"/>
        <w:gridCol w:w="106"/>
        <w:gridCol w:w="1138"/>
        <w:gridCol w:w="106"/>
        <w:gridCol w:w="290"/>
        <w:gridCol w:w="106"/>
        <w:gridCol w:w="4040"/>
      </w:tblGrid>
      <w:tr>
        <w:trPr/>
        <w:tc>
          <w:tcPr>
            <w:tcW w:w="26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(1)</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Name and telephone number of person to contact in regard to this notification</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3362"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1244" w:type="dxa"/>
            <w:gridSpan w:val="2"/>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4146" w:type="dxa"/>
            <w:gridSpan w:val="2"/>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3256" w:type="dxa"/>
            <w:tcBorders>
              <w:bottom w:val="single" w:sz="2" w:space="0" w:color="000000"/>
            </w:tcBorders>
            <w:tcMar>
              <w:bottom w:w="28" w:type="dxa"/>
            </w:tcMar>
            <w:vAlign w:val="bottom"/>
          </w:tcPr>
          <w:p>
            <w:pPr>
              <w:pStyle w:val="TableContents"/>
              <w:bidi w:val="0"/>
              <w:spacing w:before="0" w:after="283"/>
              <w:jc w:val="center"/>
              <w:rPr/>
            </w:pPr>
            <w:r>
              <w:rPr/>
              <w:t>Eric A. Braun</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38" w:type="dxa"/>
            <w:tcBorders>
              <w:bottom w:val="single" w:sz="2" w:space="0" w:color="000000"/>
            </w:tcBorders>
            <w:tcMar>
              <w:bottom w:w="28" w:type="dxa"/>
            </w:tcMar>
            <w:vAlign w:val="bottom"/>
          </w:tcPr>
          <w:p>
            <w:pPr>
              <w:pStyle w:val="TableContents"/>
              <w:bidi w:val="0"/>
              <w:spacing w:before="0" w:after="283"/>
              <w:jc w:val="center"/>
              <w:rPr/>
            </w:pPr>
            <w:r>
              <w:rPr/>
              <w:t>(630)</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4040" w:type="dxa"/>
            <w:tcBorders>
              <w:bottom w:val="single" w:sz="2" w:space="0" w:color="000000"/>
            </w:tcBorders>
            <w:tcMar>
              <w:bottom w:w="28" w:type="dxa"/>
            </w:tcMar>
            <w:vAlign w:val="bottom"/>
          </w:tcPr>
          <w:p>
            <w:pPr>
              <w:pStyle w:val="TableContents"/>
              <w:bidi w:val="0"/>
              <w:spacing w:before="0" w:after="283"/>
              <w:jc w:val="center"/>
              <w:rPr/>
            </w:pPr>
            <w:r>
              <w:rPr/>
              <w:t>271-3600</w:t>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256" w:type="dxa"/>
            <w:tcBorders/>
            <w:vAlign w:val="bottom"/>
          </w:tcPr>
          <w:p>
            <w:pPr>
              <w:pStyle w:val="TableContents"/>
              <w:bidi w:val="0"/>
              <w:spacing w:before="0" w:after="283"/>
              <w:jc w:val="center"/>
              <w:rPr/>
            </w:pPr>
            <w:r>
              <w:rPr/>
              <w:t>(Name)</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center"/>
              <w:rPr/>
            </w:pPr>
            <w:r>
              <w:rPr/>
              <w:t>(Area Code)</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(Telephone Number)</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(2)</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Annual Report on Form 10-K for the year ended December 31, 2025.</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Quarterly Report on Form 10-Q for the quarter ended March 31, 2026.</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bottom w:val="single" w:sz="2" w:space="0" w:color="000000"/>
            </w:tcBorders>
            <w:tcMar>
              <w:bottom w:w="28" w:type="dxa"/>
            </w:tcMar>
            <w:vAlign w:val="bottom"/>
          </w:tcPr>
          <w:p>
            <w:pPr>
              <w:pStyle w:val="TableContents"/>
              <w:bidi w:val="0"/>
              <w:spacing w:before="0" w:after="283"/>
              <w:jc w:val="left"/>
              <w:rPr/>
            </w:pPr>
            <w:r>
              <w:rPr/>
              <w:t> </w:t>
            </w:r>
          </w:p>
        </w:tc>
        <w:tc>
          <w:tcPr>
            <w:tcW w:w="9438" w:type="dxa"/>
            <w:gridSpan w:val="9"/>
            <w:tcBorders>
              <w:bottom w:val="single" w:sz="2" w:space="0" w:color="000000"/>
            </w:tcBorders>
            <w:tcMar>
              <w:bottom w:w="28" w:type="dxa"/>
            </w:tcMar>
            <w:vAlign w:val="bottom"/>
          </w:tcPr>
          <w:p>
            <w:pPr>
              <w:pStyle w:val="TableContents"/>
              <w:bidi w:val="0"/>
              <w:spacing w:before="0" w:after="283"/>
              <w:jc w:val="left"/>
              <w:rPr/>
            </w:pPr>
            <w:r>
              <w:rPr/>
              <w:t> </w:t>
            </w:r>
          </w:p>
        </w:tc>
      </w:tr>
      <w:tr>
        <w:trPr>
          <w:trHeight w:val="24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pPr>
            <w:r>
              <w:rPr/>
              <w:t>(3)</w:t>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Is it anticipated that any significant change in results of operations from the corresponding period for the last fiscal year will be reflected by the earnings statements to be included in the subject report or portion thereof? ☒ Yes ☐ No</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If so, attach an explanation of the anticipated change, both narratively and quantitatively, and, if appropriate, state the reasons why a reasonable estimate of the results cannot be made.</w:t>
            </w:r>
          </w:p>
        </w:tc>
      </w:tr>
      <w:tr>
        <w:trPr>
          <w:trHeight w:val="120" w:hRule="atLeast"/>
        </w:trPr>
        <w:tc>
          <w:tcPr>
            <w:tcW w:w="265" w:type="dxa"/>
            <w:tcBorders/>
            <w:vAlign w:val="center"/>
          </w:tcPr>
          <w:p>
            <w:pPr>
              <w:pStyle w:val="TableContents"/>
              <w:bidi w:val="0"/>
              <w:spacing w:before="0" w:after="283"/>
              <w:jc w:val="left"/>
              <w:rPr>
                <w:sz w:val="4"/>
                <w:szCs w:val="4"/>
              </w:rPr>
            </w:pPr>
            <w:r>
              <w:rPr>
                <w:sz w:val="4"/>
                <w:szCs w:val="4"/>
              </w:rPr>
            </w:r>
          </w:p>
        </w:tc>
        <w:tc>
          <w:tcPr>
            <w:tcW w:w="396" w:type="dxa"/>
            <w:gridSpan w:val="2"/>
            <w:tcBorders/>
            <w:vAlign w:val="center"/>
          </w:tcPr>
          <w:p>
            <w:pPr>
              <w:pStyle w:val="TableContents"/>
              <w:bidi w:val="0"/>
              <w:spacing w:before="0" w:after="283"/>
              <w:jc w:val="left"/>
              <w:rPr>
                <w:sz w:val="4"/>
                <w:szCs w:val="4"/>
              </w:rPr>
            </w:pPr>
            <w:r>
              <w:rPr>
                <w:sz w:val="4"/>
                <w:szCs w:val="4"/>
              </w:rPr>
            </w:r>
          </w:p>
        </w:tc>
        <w:tc>
          <w:tcPr>
            <w:tcW w:w="9544" w:type="dxa"/>
            <w:gridSpan w:val="10"/>
            <w:tcBorders/>
            <w:vAlign w:val="center"/>
          </w:tcPr>
          <w:p>
            <w:pPr>
              <w:pStyle w:val="TableContents"/>
              <w:bidi w:val="0"/>
              <w:spacing w:before="0" w:after="283"/>
              <w:jc w:val="left"/>
              <w:rPr>
                <w:sz w:val="4"/>
                <w:szCs w:val="4"/>
              </w:rPr>
            </w:pPr>
            <w:r>
              <w:rPr>
                <w:sz w:val="4"/>
                <w:szCs w:val="4"/>
              </w:rPr>
            </w:r>
          </w:p>
        </w:tc>
      </w:tr>
      <w:tr>
        <w:trPr/>
        <w:tc>
          <w:tcPr>
            <w:tcW w:w="26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9438" w:type="dxa"/>
            <w:gridSpan w:val="9"/>
            <w:tcBorders/>
            <w:vAlign w:val="bottom"/>
          </w:tcPr>
          <w:p>
            <w:pPr>
              <w:pStyle w:val="TableContents"/>
              <w:bidi w:val="0"/>
              <w:spacing w:before="0" w:after="283"/>
              <w:jc w:val="left"/>
              <w:rPr/>
            </w:pPr>
            <w:r>
              <w:rPr/>
              <w:t>The Company has not completed the restatement of its consolidated financial statements for the quarter ended June 30, 2025 and, accordingly, is currently unable to quantify or provide a reasonable estimate of the changes in its results of operations for the quarter ended June 30, 2026 compared to its results of operations for the quarter ended June 30, 2025.</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Cautionary Statement Concerning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Notification of Late Filing on Form 12b-25 that are not historical facts are forward-looking statements provided pursuant to the safe harbor established under the Private Securities Litigation Reform Act of 1995, including statements regarding the estimated timing of the completion of the restatement of the financial statements referenced herein and the filing of the 2025 Form 10-K and Q2 2026 Form 10-Q and any other statements regarding the Company’s future expectations, beliefs, plans, objectives, financial conditions, assumptions or future events or performance that are not historical facts. These forward-looking statements are not guarantees of future performance and involve risks, uncertainties and other factors that might cause the actual performance of the Company to differ materially from those expressed or implied by such forward-looking statements. These risks and uncertainties include, but are not limited to: the Company’s ability to complete the restatement of the financial statements referenced herein; the Company’s continuing review of additional accounting issues that may potentially further impact its consolidated financial statements for the periods referenced herein; adjustments that may arise in connection with the Company’s independent registered public accounting firm’s audit of the Company’s consolidated financial statements for the year ended December 31, 2025; further delay in the financial close process or the related audit; and other risks discussed under the “Risk Factors” section in the Company’s most recently filed periodic reports on Form 10-K and Form 10-Q and subsequent filings. These forward-looking statements speak only as of the date hereof, and the Company assumes no obligation to update any such forward-looking statements. </w:t>
      </w:r>
    </w:p>
    <w:p>
      <w:pPr>
        <w:pStyle w:val="TextBody"/>
        <w:bidi w:val="0"/>
        <w:spacing w:before="0" w:after="0"/>
        <w:jc w:val="left"/>
        <w:rPr/>
      </w:pPr>
      <w:r>
        <w:rPr/>
        <w:t> </w:t>
      </w:r>
    </w:p>
    <w:p>
      <w:pPr>
        <w:pStyle w:val="TextBody"/>
        <w:bidi w:val="0"/>
        <w:spacing w:lineRule="atLeast" w:line="142" w:before="0" w:after="40"/>
        <w:jc w:val="left"/>
        <w:rPr>
          <w:bdr w:val="single" w:sz="12" w:space="1" w:color="000000"/>
        </w:rPr>
      </w:pPr>
      <w:r>
        <w:rPr>
          <w:bdr w:val="single" w:sz="1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Hub Group, Inc. </w:t>
      </w:r>
    </w:p>
    <w:p>
      <w:pPr>
        <w:pStyle w:val="TextBody"/>
        <w:bidi w:val="0"/>
        <w:spacing w:before="0" w:after="0"/>
        <w:jc w:val="center"/>
        <w:rPr>
          <w:rFonts w:ascii="Times New Roman" w:hAnsi="Times New Roman"/>
          <w:sz w:val="16"/>
        </w:rPr>
      </w:pPr>
      <w:r>
        <w:rPr>
          <w:rFonts w:ascii="Times New Roman" w:hAnsi="Times New Roman"/>
          <w:sz w:val="16"/>
        </w:rPr>
        <w:t xml:space="preserve">(Name of Registrant as Specified in Charter) </w:t>
      </w:r>
    </w:p>
    <w:p>
      <w:pPr>
        <w:pStyle w:val="TextBody"/>
        <w:bidi w:val="0"/>
        <w:spacing w:before="240" w:after="0"/>
        <w:jc w:val="left"/>
        <w:rPr>
          <w:rFonts w:ascii="Times New Roman" w:hAnsi="Times New Roman"/>
          <w:sz w:val="20"/>
        </w:rPr>
      </w:pPr>
      <w:r>
        <w:rPr>
          <w:rFonts w:ascii="Times New Roman" w:hAnsi="Times New Roman"/>
          <w:sz w:val="20"/>
        </w:rPr>
        <w:t xml:space="preserve">has caused this notification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6"/>
        <w:gridCol w:w="106"/>
        <w:gridCol w:w="4122"/>
        <w:gridCol w:w="106"/>
        <w:gridCol w:w="384"/>
        <w:gridCol w:w="106"/>
        <w:gridCol w:w="597"/>
        <w:gridCol w:w="106"/>
        <w:gridCol w:w="4202"/>
      </w:tblGrid>
      <w:tr>
        <w:trPr/>
        <w:tc>
          <w:tcPr>
            <w:tcW w:w="47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122"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202" w:type="dxa"/>
            <w:tcBorders/>
            <w:vAlign w:val="center"/>
          </w:tcPr>
          <w:p>
            <w:pPr>
              <w:pStyle w:val="TableContents"/>
              <w:bidi w:val="0"/>
              <w:spacing w:before="0" w:after="283"/>
              <w:jc w:val="left"/>
              <w:rPr>
                <w:sz w:val="4"/>
                <w:szCs w:val="4"/>
              </w:rPr>
            </w:pPr>
            <w:r>
              <w:rPr>
                <w:sz w:val="4"/>
                <w:szCs w:val="4"/>
              </w:rPr>
            </w:r>
          </w:p>
        </w:tc>
      </w:tr>
      <w:tr>
        <w:trPr/>
        <w:tc>
          <w:tcPr>
            <w:tcW w:w="476" w:type="dxa"/>
            <w:tcBorders/>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4122" w:type="dxa"/>
            <w:tcBorders/>
          </w:tcPr>
          <w:p>
            <w:pPr>
              <w:pStyle w:val="TableContents"/>
              <w:bidi w:val="0"/>
              <w:spacing w:before="0" w:after="283"/>
              <w:jc w:val="left"/>
              <w:rPr/>
            </w:pPr>
            <w:r>
              <w:rPr/>
              <w:t>August 11, 2026</w:t>
            </w:r>
          </w:p>
        </w:tc>
        <w:tc>
          <w:tcPr>
            <w:tcW w:w="106"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20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A. Braun</w:t>
            </w:r>
          </w:p>
        </w:tc>
      </w:tr>
      <w:tr>
        <w:trPr/>
        <w:tc>
          <w:tcPr>
            <w:tcW w:w="47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2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202" w:type="dxa"/>
            <w:tcBorders/>
          </w:tcPr>
          <w:p>
            <w:pPr>
              <w:pStyle w:val="TableContents"/>
              <w:bidi w:val="0"/>
              <w:spacing w:before="0" w:after="283"/>
              <w:jc w:val="left"/>
              <w:rPr/>
            </w:pPr>
            <w:r>
              <w:rPr/>
              <w:t>Eric A. Braun</w:t>
            </w:r>
          </w:p>
        </w:tc>
      </w:tr>
      <w:tr>
        <w:trPr/>
        <w:tc>
          <w:tcPr>
            <w:tcW w:w="476"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122"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7"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202" w:type="dxa"/>
            <w:tcBorders/>
          </w:tcPr>
          <w:p>
            <w:pPr>
              <w:pStyle w:val="TableContents"/>
              <w:bidi w:val="0"/>
              <w:spacing w:before="0" w:after="283"/>
              <w:jc w:val="left"/>
              <w:rPr/>
            </w:pPr>
            <w:r>
              <w:rPr/>
              <w:t>Executive Vice President, Chief Legal Officer and Corporate Secretary</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1098</Words>
  <Characters>5744</Characters>
  <CharactersWithSpaces>6897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NT 10-Q</dc:title>
</cp:coreProperties>
</file>