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3</w:t>
      </w:r>
    </w:p>
    <w:p>
      <w:pPr>
        <w:spacing w:after="0" w:line="16" w:lineRule="exact"/>
        <w:rPr>
          <w:sz w:val="24"/>
          <w:szCs w:val="24"/>
          <w:color w:val="auto"/>
        </w:rPr>
      </w:pPr>
    </w:p>
    <w:tbl>
      <w:tblPr>
        <w:tblLayout w:type="fixed"/>
        <w:tblInd w:w="620" w:type="dxa"/>
        <w:tblCellMar>
          <w:top w:w="0" w:type="dxa"/>
          <w:left w:w="0" w:type="dxa"/>
          <w:bottom w:w="0" w:type="dxa"/>
          <w:right w:w="0" w:type="dxa"/>
        </w:tblCellMar>
      </w:tblPr>
      <w:tr>
        <w:trPr>
          <w:trHeight w:val="287"/>
        </w:trPr>
        <w:tc>
          <w:tcPr>
            <w:tcW w:w="1640" w:type="dxa"/>
            <w:vAlign w:val="bottom"/>
          </w:tcPr>
          <w:p>
            <w:pPr>
              <w:spacing w:after="0"/>
              <w:rPr>
                <w:sz w:val="20"/>
                <w:szCs w:val="20"/>
                <w:color w:val="auto"/>
              </w:rPr>
            </w:pPr>
            <w:r>
              <w:rPr>
                <w:rFonts w:ascii="Arial" w:cs="Arial" w:eastAsia="Arial" w:hAnsi="Arial"/>
                <w:sz w:val="25"/>
                <w:szCs w:val="25"/>
                <w:b w:val="1"/>
                <w:bCs w:val="1"/>
                <w:color w:val="auto"/>
              </w:rPr>
              <w:t>FORM 3</w:t>
            </w:r>
          </w:p>
        </w:tc>
        <w:tc>
          <w:tcPr>
            <w:tcW w:w="6560" w:type="dxa"/>
            <w:vAlign w:val="bottom"/>
          </w:tcPr>
          <w:p>
            <w:pPr>
              <w:jc w:val="center"/>
              <w:ind w:right="23"/>
              <w:spacing w:after="0"/>
              <w:rPr>
                <w:sz w:val="20"/>
                <w:szCs w:val="20"/>
                <w:color w:val="auto"/>
              </w:rPr>
            </w:pPr>
            <w:r>
              <w:rPr>
                <w:rFonts w:ascii="Arial" w:cs="Arial" w:eastAsia="Arial" w:hAnsi="Arial"/>
                <w:sz w:val="22"/>
                <w:szCs w:val="22"/>
                <w:b w:val="1"/>
                <w:bCs w:val="1"/>
                <w:color w:val="auto"/>
              </w:rPr>
              <w:t>UNITED STATES SECURITIES AND EXCHANGE</w:t>
            </w: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640" w:type="dxa"/>
            <w:vAlign w:val="bottom"/>
          </w:tcPr>
          <w:p>
            <w:pPr>
              <w:spacing w:after="0"/>
              <w:rPr>
                <w:sz w:val="2"/>
                <w:szCs w:val="2"/>
                <w:color w:val="auto"/>
              </w:rPr>
            </w:pPr>
          </w:p>
        </w:tc>
        <w:tc>
          <w:tcPr>
            <w:tcW w:w="6560" w:type="dxa"/>
            <w:vAlign w:val="bottom"/>
            <w:vMerge w:val="restart"/>
          </w:tcPr>
          <w:p>
            <w:pPr>
              <w:jc w:val="center"/>
              <w:ind w:right="43"/>
              <w:spacing w:after="0"/>
              <w:rPr>
                <w:sz w:val="20"/>
                <w:szCs w:val="20"/>
                <w:color w:val="auto"/>
              </w:rPr>
            </w:pPr>
            <w:r>
              <w:rPr>
                <w:rFonts w:ascii="Arial" w:cs="Arial" w:eastAsia="Arial" w:hAnsi="Arial"/>
                <w:sz w:val="22"/>
                <w:szCs w:val="22"/>
                <w:b w:val="1"/>
                <w:bCs w:val="1"/>
                <w:color w:val="auto"/>
              </w:rPr>
              <w:t>COMMISSION</w:t>
            </w:r>
          </w:p>
        </w:tc>
        <w:tc>
          <w:tcPr>
            <w:tcW w:w="40" w:type="dxa"/>
            <w:vAlign w:val="bottom"/>
            <w:tcBorders>
              <w:bottom w:val="single" w:sz="8" w:color="808080"/>
            </w:tcBorders>
          </w:tcPr>
          <w:p>
            <w:pPr>
              <w:spacing w:after="0"/>
              <w:rPr>
                <w:sz w:val="2"/>
                <w:szCs w:val="2"/>
                <w:color w:val="auto"/>
              </w:rPr>
            </w:pPr>
          </w:p>
        </w:tc>
        <w:tc>
          <w:tcPr>
            <w:tcW w:w="20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65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6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Borders>
              <w:top w:val="single" w:sz="8" w:color="2C2C2C"/>
            </w:tcBorders>
          </w:tcPr>
          <w:p>
            <w:pPr>
              <w:jc w:val="center"/>
              <w:spacing w:after="0" w:line="175" w:lineRule="exact"/>
              <w:rPr>
                <w:sz w:val="20"/>
                <w:szCs w:val="20"/>
                <w:color w:val="auto"/>
              </w:rPr>
            </w:pPr>
            <w:r>
              <w:rPr>
                <w:rFonts w:ascii="Arial" w:cs="Arial" w:eastAsia="Arial" w:hAnsi="Arial"/>
                <w:sz w:val="18"/>
                <w:szCs w:val="18"/>
                <w:color w:val="auto"/>
                <w:w w:val="99"/>
              </w:rPr>
              <w:t>OMB APPROVAL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1640" w:type="dxa"/>
            <w:vAlign w:val="bottom"/>
          </w:tcPr>
          <w:p>
            <w:pPr>
              <w:spacing w:after="0"/>
              <w:rPr>
                <w:sz w:val="4"/>
                <w:szCs w:val="4"/>
                <w:color w:val="auto"/>
              </w:rPr>
            </w:pPr>
          </w:p>
        </w:tc>
        <w:tc>
          <w:tcPr>
            <w:tcW w:w="6560" w:type="dxa"/>
            <w:vAlign w:val="bottom"/>
            <w:vMerge w:val="restart"/>
          </w:tcPr>
          <w:p>
            <w:pPr>
              <w:jc w:val="center"/>
              <w:ind w:right="23"/>
              <w:spacing w:after="0"/>
              <w:rPr>
                <w:sz w:val="20"/>
                <w:szCs w:val="20"/>
                <w:color w:val="auto"/>
              </w:rPr>
            </w:pPr>
            <w:r>
              <w:rPr>
                <w:rFonts w:ascii="Arial" w:cs="Arial" w:eastAsia="Arial" w:hAnsi="Arial"/>
                <w:sz w:val="14"/>
                <w:szCs w:val="14"/>
                <w:color w:val="auto"/>
                <w:w w:val="99"/>
              </w:rPr>
              <w:t>Washington, D.C. 20549</w:t>
            </w:r>
          </w:p>
        </w:tc>
        <w:tc>
          <w:tcPr>
            <w:tcW w:w="40" w:type="dxa"/>
            <w:vAlign w:val="bottom"/>
          </w:tcPr>
          <w:p>
            <w:pPr>
              <w:spacing w:after="0"/>
              <w:rPr>
                <w:sz w:val="4"/>
                <w:szCs w:val="4"/>
                <w:color w:val="auto"/>
              </w:rPr>
            </w:pPr>
          </w:p>
        </w:tc>
        <w:tc>
          <w:tcPr>
            <w:tcW w:w="20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640" w:type="dxa"/>
            <w:vAlign w:val="bottom"/>
          </w:tcPr>
          <w:p>
            <w:pPr>
              <w:spacing w:after="0" w:line="20" w:lineRule="exact"/>
              <w:rPr>
                <w:sz w:val="1"/>
                <w:szCs w:val="1"/>
                <w:color w:val="auto"/>
              </w:rPr>
            </w:pPr>
          </w:p>
        </w:tc>
        <w:tc>
          <w:tcPr>
            <w:tcW w:w="65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
        </w:trPr>
        <w:tc>
          <w:tcPr>
            <w:tcW w:w="1640" w:type="dxa"/>
            <w:vAlign w:val="bottom"/>
          </w:tcPr>
          <w:p>
            <w:pPr>
              <w:spacing w:after="0"/>
              <w:rPr>
                <w:sz w:val="5"/>
                <w:szCs w:val="5"/>
                <w:color w:val="auto"/>
              </w:rPr>
            </w:pPr>
          </w:p>
        </w:tc>
        <w:tc>
          <w:tcPr>
            <w:tcW w:w="6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2"/>
            <w:vMerge w:val="restart"/>
          </w:tcPr>
          <w:p>
            <w:pPr>
              <w:jc w:val="center"/>
              <w:ind w:right="60"/>
              <w:spacing w:after="0"/>
              <w:rPr>
                <w:sz w:val="20"/>
                <w:szCs w:val="20"/>
                <w:color w:val="auto"/>
              </w:rPr>
            </w:pPr>
            <w:r>
              <w:rPr>
                <w:rFonts w:ascii="Arial" w:cs="Arial" w:eastAsia="Arial" w:hAnsi="Arial"/>
                <w:sz w:val="13"/>
                <w:szCs w:val="13"/>
                <w:color w:val="auto"/>
                <w:w w:val="96"/>
              </w:rPr>
              <w:t>OMB Number:3235-0104</w:t>
            </w:r>
          </w:p>
        </w:tc>
        <w:tc>
          <w:tcPr>
            <w:tcW w:w="0" w:type="dxa"/>
            <w:vAlign w:val="bottom"/>
          </w:tcPr>
          <w:p>
            <w:pPr>
              <w:spacing w:after="0"/>
              <w:rPr>
                <w:sz w:val="1"/>
                <w:szCs w:val="1"/>
                <w:color w:val="auto"/>
              </w:rPr>
            </w:pPr>
          </w:p>
        </w:tc>
      </w:tr>
      <w:tr>
        <w:trPr>
          <w:trHeight w:val="134"/>
        </w:trPr>
        <w:tc>
          <w:tcPr>
            <w:tcW w:w="164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5586730</wp:posOffset>
            </wp:positionH>
            <wp:positionV relativeFrom="paragraph">
              <wp:posOffset>-364490</wp:posOffset>
            </wp:positionV>
            <wp:extent cx="1342390" cy="688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2390" cy="688340"/>
                    </a:xfrm>
                    <a:prstGeom prst="rect">
                      <a:avLst/>
                    </a:prstGeom>
                    <a:noFill/>
                  </pic:spPr>
                </pic:pic>
              </a:graphicData>
            </a:graphic>
          </wp:anchor>
        </w:drawing>
      </w:r>
    </w:p>
    <w:p>
      <w:pPr>
        <w:sectPr>
          <w:pgSz w:w="11900" w:h="16838" w:orient="portrait"/>
          <w:cols w:equalWidth="0" w:num="1">
            <w:col w:w="10940"/>
          </w:cols>
          <w:pgMar w:left="480" w:top="223" w:right="479" w:bottom="1440" w:gutter="0" w:footer="0" w:header="0"/>
        </w:sectPr>
      </w:pPr>
    </w:p>
    <w:p>
      <w:pPr>
        <w:spacing w:after="0" w:line="71" w:lineRule="exact"/>
        <w:rPr>
          <w:sz w:val="24"/>
          <w:szCs w:val="24"/>
          <w:color w:val="auto"/>
        </w:rPr>
      </w:pPr>
    </w:p>
    <w:p>
      <w:pPr>
        <w:jc w:val="center"/>
        <w:ind w:left="260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20" w:lineRule="exact"/>
        <w:rPr>
          <w:sz w:val="24"/>
          <w:szCs w:val="24"/>
          <w:color w:val="auto"/>
        </w:rPr>
      </w:pPr>
    </w:p>
    <w:p>
      <w:pPr>
        <w:jc w:val="center"/>
        <w:ind w:left="2580"/>
        <w:spacing w:after="0"/>
        <w:rPr>
          <w:sz w:val="20"/>
          <w:szCs w:val="20"/>
          <w:color w:val="auto"/>
        </w:rPr>
      </w:pPr>
      <w:r>
        <w:rPr>
          <w:rFonts w:ascii="Arial" w:cs="Arial" w:eastAsia="Arial" w:hAnsi="Arial"/>
          <w:sz w:val="22"/>
          <w:szCs w:val="22"/>
          <w:b w:val="1"/>
          <w:bCs w:val="1"/>
          <w:color w:val="auto"/>
        </w:rPr>
        <w:t>SECURITIES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580" w:type="dxa"/>
            <w:vAlign w:val="bottom"/>
          </w:tcPr>
          <w:p>
            <w:pPr>
              <w:spacing w:after="0"/>
              <w:rPr>
                <w:sz w:val="20"/>
                <w:szCs w:val="20"/>
                <w:color w:val="auto"/>
              </w:rPr>
            </w:pPr>
            <w:r>
              <w:rPr>
                <w:rFonts w:ascii="Arial" w:cs="Arial" w:eastAsia="Arial" w:hAnsi="Arial"/>
                <w:sz w:val="13"/>
                <w:szCs w:val="13"/>
                <w:color w:val="auto"/>
              </w:rPr>
              <w:t>Estimated average burden</w:t>
            </w:r>
          </w:p>
        </w:tc>
        <w:tc>
          <w:tcPr>
            <w:tcW w:w="280" w:type="dxa"/>
            <w:vAlign w:val="bottom"/>
          </w:tcPr>
          <w:p>
            <w:pPr>
              <w:spacing w:after="0"/>
              <w:rPr>
                <w:sz w:val="14"/>
                <w:szCs w:val="14"/>
                <w:color w:val="auto"/>
              </w:rPr>
            </w:pPr>
          </w:p>
        </w:tc>
      </w:tr>
      <w:tr>
        <w:trPr>
          <w:trHeight w:val="195"/>
        </w:trPr>
        <w:tc>
          <w:tcPr>
            <w:tcW w:w="1580" w:type="dxa"/>
            <w:vAlign w:val="bottom"/>
          </w:tcPr>
          <w:p>
            <w:pPr>
              <w:spacing w:after="0"/>
              <w:rPr>
                <w:sz w:val="20"/>
                <w:szCs w:val="20"/>
                <w:color w:val="auto"/>
              </w:rPr>
            </w:pPr>
            <w:r>
              <w:rPr>
                <w:rFonts w:ascii="Arial" w:cs="Arial" w:eastAsia="Arial" w:hAnsi="Arial"/>
                <w:sz w:val="13"/>
                <w:szCs w:val="13"/>
                <w:color w:val="auto"/>
              </w:rPr>
              <w:t>hours per response:</w:t>
            </w:r>
          </w:p>
        </w:tc>
        <w:tc>
          <w:tcPr>
            <w:tcW w:w="280" w:type="dxa"/>
            <w:vAlign w:val="bottom"/>
          </w:tcPr>
          <w:p>
            <w:pPr>
              <w:jc w:val="right"/>
              <w:spacing w:after="0"/>
              <w:rPr>
                <w:sz w:val="20"/>
                <w:szCs w:val="20"/>
                <w:color w:val="auto"/>
              </w:rPr>
            </w:pPr>
            <w:r>
              <w:rPr>
                <w:rFonts w:ascii="Arial" w:cs="Arial" w:eastAsia="Arial" w:hAnsi="Arial"/>
                <w:sz w:val="13"/>
                <w:szCs w:val="13"/>
                <w:color w:val="auto"/>
              </w:rPr>
              <w:t>0.5</w:t>
            </w:r>
          </w:p>
        </w:tc>
      </w:tr>
    </w:tbl>
    <w:p>
      <w:pPr>
        <w:spacing w:after="0" w:line="406" w:lineRule="exact"/>
        <w:rPr>
          <w:sz w:val="24"/>
          <w:szCs w:val="24"/>
          <w:color w:val="auto"/>
        </w:rPr>
      </w:pPr>
    </w:p>
    <w:p>
      <w:pPr>
        <w:sectPr>
          <w:pgSz w:w="11900" w:h="16838" w:orient="portrait"/>
          <w:cols w:equalWidth="0" w:num="2">
            <w:col w:w="8360" w:space="560"/>
            <w:col w:w="2020"/>
          </w:cols>
          <w:pgMar w:left="480" w:top="223" w:right="479" w:bottom="1440" w:gutter="0" w:footer="0" w:header="0"/>
          <w:type w:val="continuous"/>
        </w:sectPr>
      </w:pP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Filed pursuant to Section 16(a) of the Securities Exchange Act of 1934</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18415</wp:posOffset>
            </wp:positionV>
            <wp:extent cx="6983095" cy="3950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3095" cy="3950970"/>
                    </a:xfrm>
                    <a:prstGeom prst="rect">
                      <a:avLst/>
                    </a:prstGeom>
                    <a:noFill/>
                  </pic:spPr>
                </pic:pic>
              </a:graphicData>
            </a:graphic>
          </wp:anchor>
        </w:drawing>
      </w:r>
    </w:p>
    <w:p>
      <w:pPr>
        <w:sectPr>
          <w:pgSz w:w="11900" w:h="16838" w:orient="portrait"/>
          <w:cols w:equalWidth="0" w:num="1">
            <w:col w:w="10940"/>
          </w:cols>
          <w:pgMar w:left="480" w:top="223" w:right="479" w:bottom="1440" w:gutter="0" w:footer="0" w:header="0"/>
          <w:type w:val="continuous"/>
        </w:sectPr>
      </w:pPr>
    </w:p>
    <w:p>
      <w:pPr>
        <w:spacing w:after="0" w:line="35" w:lineRule="exact"/>
        <w:rPr>
          <w:sz w:val="24"/>
          <w:szCs w:val="24"/>
          <w:color w:val="auto"/>
        </w:rPr>
      </w:pPr>
    </w:p>
    <w:tbl>
      <w:tblPr>
        <w:tblLayout w:type="fixed"/>
        <w:tblInd w:w="80" w:type="dxa"/>
        <w:tblCellMar>
          <w:top w:w="0" w:type="dxa"/>
          <w:left w:w="0" w:type="dxa"/>
          <w:bottom w:w="0" w:type="dxa"/>
          <w:right w:w="0" w:type="dxa"/>
        </w:tblCellMar>
      </w:tblPr>
      <w:tr>
        <w:trPr>
          <w:trHeight w:val="264"/>
        </w:trPr>
        <w:tc>
          <w:tcPr>
            <w:tcW w:w="312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tc>
        <w:tc>
          <w:tcPr>
            <w:tcW w:w="142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5"/>
        </w:trPr>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0">
              <w:r>
                <w:rPr>
                  <w:rFonts w:ascii="Times New Roman" w:cs="Times New Roman" w:eastAsia="Times New Roman" w:hAnsi="Times New Roman"/>
                  <w:sz w:val="22"/>
                  <w:szCs w:val="22"/>
                  <w:color w:val="0000EE"/>
                </w:rPr>
                <w:t>Heeter Todd D.</w:t>
              </w:r>
            </w:hyperlink>
          </w:p>
        </w:tc>
        <w:tc>
          <w:tcPr>
            <w:tcW w:w="1420" w:type="dxa"/>
            <w:vAlign w:val="bottom"/>
          </w:tcPr>
          <w:p>
            <w:pPr>
              <w:ind w:left="140"/>
              <w:spacing w:after="0" w:line="125" w:lineRule="exact"/>
              <w:rPr>
                <w:sz w:val="20"/>
                <w:szCs w:val="20"/>
                <w:color w:val="auto"/>
              </w:rPr>
            </w:pPr>
            <w:r>
              <w:rPr>
                <w:rFonts w:ascii="Arial" w:cs="Arial" w:eastAsia="Arial" w:hAnsi="Arial"/>
                <w:sz w:val="14"/>
                <w:szCs w:val="14"/>
                <w:color w:val="auto"/>
                <w:w w:val="98"/>
              </w:rPr>
              <w:t>Requiring Statement</w:t>
            </w:r>
          </w:p>
        </w:tc>
        <w:tc>
          <w:tcPr>
            <w:tcW w:w="0" w:type="dxa"/>
            <w:vAlign w:val="bottom"/>
          </w:tcPr>
          <w:p>
            <w:pPr>
              <w:spacing w:after="0"/>
              <w:rPr>
                <w:sz w:val="1"/>
                <w:szCs w:val="1"/>
                <w:color w:val="auto"/>
              </w:rPr>
            </w:pPr>
          </w:p>
        </w:tc>
      </w:tr>
      <w:tr>
        <w:trPr>
          <w:trHeight w:val="154"/>
        </w:trPr>
        <w:tc>
          <w:tcPr>
            <w:tcW w:w="3120" w:type="dxa"/>
            <w:vAlign w:val="bottom"/>
            <w:gridSpan w:val="3"/>
            <w:vMerge w:val="continue"/>
          </w:tcPr>
          <w:p>
            <w:pPr>
              <w:spacing w:after="0"/>
              <w:rPr>
                <w:sz w:val="13"/>
                <w:szCs w:val="13"/>
                <w:color w:val="auto"/>
              </w:rPr>
            </w:pPr>
          </w:p>
        </w:tc>
        <w:tc>
          <w:tcPr>
            <w:tcW w:w="1420" w:type="dxa"/>
            <w:vAlign w:val="bottom"/>
          </w:tcPr>
          <w:p>
            <w:pPr>
              <w:ind w:left="140"/>
              <w:spacing w:after="0" w:line="154"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3"/>
        </w:trPr>
        <w:tc>
          <w:tcPr>
            <w:tcW w:w="4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420" w:type="dxa"/>
            <w:vAlign w:val="bottom"/>
          </w:tcPr>
          <w:p>
            <w:pPr>
              <w:ind w:left="140"/>
              <w:spacing w:after="0" w:line="175" w:lineRule="exact"/>
              <w:rPr>
                <w:sz w:val="20"/>
                <w:szCs w:val="20"/>
                <w:color w:val="auto"/>
              </w:rPr>
            </w:pPr>
            <w:r>
              <w:rPr>
                <w:rFonts w:ascii="Times New Roman" w:cs="Times New Roman" w:eastAsia="Times New Roman" w:hAnsi="Times New Roman"/>
                <w:sz w:val="18"/>
                <w:szCs w:val="18"/>
                <w:color w:val="0000FF"/>
              </w:rPr>
              <w:t>05/28/2026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3.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u w:val="single" w:color="auto"/>
            <w:color w:val="0000EE"/>
          </w:rPr>
          <w:t>Hub Group,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8"/>
          <w:szCs w:val="18"/>
          <w:color w:val="0000FF"/>
        </w:rPr>
        <w:t>HUBG</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6" w:lineRule="exact"/>
        <w:rPr>
          <w:sz w:val="24"/>
          <w:szCs w:val="24"/>
          <w:color w:val="auto"/>
        </w:rPr>
      </w:pPr>
    </w:p>
    <w:p>
      <w:pPr>
        <w:sectPr>
          <w:pgSz w:w="11900" w:h="16838" w:orient="portrait"/>
          <w:cols w:equalWidth="0" w:num="2">
            <w:col w:w="4620" w:space="360"/>
            <w:col w:w="5960"/>
          </w:cols>
          <w:pgMar w:left="480" w:top="223" w:right="479" w:bottom="1440" w:gutter="0" w:footer="0" w:header="0"/>
          <w:type w:val="continuous"/>
        </w:sectPr>
      </w:pPr>
    </w:p>
    <w:p>
      <w:pPr>
        <w:spacing w:after="0" w:line="97" w:lineRule="exact"/>
        <w:rPr>
          <w:sz w:val="24"/>
          <w:szCs w:val="24"/>
          <w:color w:val="auto"/>
        </w:rPr>
      </w:pPr>
    </w:p>
    <w:tbl>
      <w:tblPr>
        <w:tblLayout w:type="fixed"/>
        <w:tblInd w:w="80" w:type="dxa"/>
        <w:tblCellMar>
          <w:top w:w="0" w:type="dxa"/>
          <w:left w:w="0" w:type="dxa"/>
          <w:bottom w:w="0" w:type="dxa"/>
          <w:right w:w="0" w:type="dxa"/>
        </w:tblCellMar>
      </w:tblPr>
      <w:tr>
        <w:trPr>
          <w:trHeight w:val="184"/>
        </w:trPr>
        <w:tc>
          <w:tcPr>
            <w:tcW w:w="860" w:type="dxa"/>
            <w:vAlign w:val="bottom"/>
          </w:tcPr>
          <w:p>
            <w:pPr>
              <w:ind w:left="40"/>
              <w:spacing w:after="0"/>
              <w:rPr>
                <w:sz w:val="20"/>
                <w:szCs w:val="20"/>
                <w:color w:val="auto"/>
              </w:rPr>
            </w:pPr>
            <w:r>
              <w:rPr>
                <w:rFonts w:ascii="Arial" w:cs="Arial" w:eastAsia="Arial" w:hAnsi="Arial"/>
                <w:sz w:val="14"/>
                <w:szCs w:val="14"/>
                <w:color w:val="auto"/>
              </w:rPr>
              <w:t>(Last)</w:t>
            </w:r>
          </w:p>
        </w:tc>
        <w:tc>
          <w:tcPr>
            <w:tcW w:w="1160" w:type="dxa"/>
            <w:vAlign w:val="bottom"/>
          </w:tcPr>
          <w:p>
            <w:pPr>
              <w:ind w:left="200"/>
              <w:spacing w:after="0"/>
              <w:rPr>
                <w:sz w:val="20"/>
                <w:szCs w:val="20"/>
                <w:color w:val="auto"/>
              </w:rPr>
            </w:pPr>
            <w:r>
              <w:rPr>
                <w:rFonts w:ascii="Arial" w:cs="Arial" w:eastAsia="Arial" w:hAnsi="Arial"/>
                <w:sz w:val="14"/>
                <w:szCs w:val="14"/>
                <w:color w:val="auto"/>
              </w:rPr>
              <w:t>(First)</w:t>
            </w:r>
          </w:p>
        </w:tc>
        <w:tc>
          <w:tcPr>
            <w:tcW w:w="110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8"/>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2001 HUB GROUP WAY</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6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60" w:type="dxa"/>
            <w:vAlign w:val="bottom"/>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OAK</w:t>
            </w: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IL</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60523</w:t>
            </w:r>
          </w:p>
        </w:tc>
        <w:tc>
          <w:tcPr>
            <w:tcW w:w="0" w:type="dxa"/>
            <w:vAlign w:val="bottom"/>
          </w:tcPr>
          <w:p>
            <w:pPr>
              <w:spacing w:after="0"/>
              <w:rPr>
                <w:sz w:val="1"/>
                <w:szCs w:val="1"/>
                <w:color w:val="auto"/>
              </w:rPr>
            </w:pPr>
          </w:p>
        </w:tc>
      </w:tr>
      <w:tr>
        <w:trPr>
          <w:trHeight w:val="12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BROOK</w:t>
            </w:r>
          </w:p>
        </w:tc>
        <w:tc>
          <w:tcPr>
            <w:tcW w:w="11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8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4" w:right="20" w:hanging="4"/>
        <w:spacing w:after="0" w:line="259" w:lineRule="auto"/>
        <w:tabs>
          <w:tab w:leader="none" w:pos="159"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 w:lineRule="exact"/>
        <w:rPr>
          <w:sz w:val="24"/>
          <w:szCs w:val="24"/>
          <w:color w:val="auto"/>
        </w:rPr>
      </w:pPr>
    </w:p>
    <w:p>
      <w:pPr>
        <w:ind w:left="524"/>
        <w:spacing w:after="0"/>
        <w:tabs>
          <w:tab w:leader="none" w:pos="2064"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4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24"/>
        <w:spacing w:after="0"/>
        <w:tabs>
          <w:tab w:leader="none" w:pos="2064"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4" w:lineRule="exact"/>
        <w:rPr>
          <w:sz w:val="24"/>
          <w:szCs w:val="24"/>
          <w:color w:val="auto"/>
        </w:rPr>
      </w:pPr>
    </w:p>
    <w:p>
      <w:pPr>
        <w:ind w:left="724"/>
        <w:spacing w:after="0"/>
        <w:rPr>
          <w:sz w:val="20"/>
          <w:szCs w:val="20"/>
          <w:color w:val="auto"/>
        </w:rPr>
      </w:pPr>
      <w:r>
        <w:rPr>
          <w:rFonts w:ascii="Times New Roman" w:cs="Times New Roman" w:eastAsia="Times New Roman" w:hAnsi="Times New Roman"/>
          <w:sz w:val="18"/>
          <w:szCs w:val="18"/>
          <w:color w:val="0000FF"/>
        </w:rPr>
        <w:t>Chief Financial Officer</w:t>
      </w:r>
    </w:p>
    <w:p>
      <w:pPr>
        <w:spacing w:after="0" w:line="20" w:lineRule="exact"/>
        <w:rPr>
          <w:sz w:val="24"/>
          <w:szCs w:val="24"/>
          <w:color w:val="auto"/>
        </w:rPr>
      </w:pPr>
      <w:r>
        <w:rPr>
          <w:sz w:val="24"/>
          <w:szCs w:val="24"/>
          <w:color w:val="auto"/>
        </w:rPr>
        <w:br w:type="column"/>
      </w:r>
    </w:p>
    <w:p>
      <w:pPr>
        <w:ind w:left="-8" w:right="280" w:firstLine="8"/>
        <w:spacing w:after="0" w:line="262" w:lineRule="auto"/>
        <w:tabs>
          <w:tab w:leader="none" w:pos="147"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7" w:lineRule="exact"/>
        <w:rPr>
          <w:rFonts w:ascii="Arial" w:cs="Arial" w:eastAsia="Arial" w:hAnsi="Arial"/>
          <w:sz w:val="14"/>
          <w:szCs w:val="14"/>
          <w:color w:val="auto"/>
        </w:rPr>
      </w:pPr>
    </w:p>
    <w:p>
      <w:pPr>
        <w:ind w:left="-8" w:right="180" w:firstLine="8"/>
        <w:spacing w:after="0" w:line="259" w:lineRule="auto"/>
        <w:tabs>
          <w:tab w:leader="none" w:pos="147"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 w:lineRule="exact"/>
        <w:rPr>
          <w:sz w:val="24"/>
          <w:szCs w:val="24"/>
          <w:color w:val="auto"/>
        </w:rPr>
      </w:pPr>
    </w:p>
    <w:p>
      <w:pPr>
        <w:ind w:left="452" w:right="480"/>
        <w:spacing w:after="0" w:line="262" w:lineRule="auto"/>
        <w:rPr>
          <w:sz w:val="20"/>
          <w:szCs w:val="20"/>
          <w:color w:val="auto"/>
        </w:rPr>
      </w:pPr>
      <w:r>
        <w:rPr>
          <w:rFonts w:ascii="Arial" w:cs="Arial" w:eastAsia="Arial" w:hAnsi="Arial"/>
          <w:sz w:val="14"/>
          <w:szCs w:val="14"/>
          <w:color w:val="auto"/>
        </w:rPr>
        <w:t>Form filed by One Reporting Person</w:t>
      </w:r>
    </w:p>
    <w:p>
      <w:pPr>
        <w:spacing w:after="0" w:line="10" w:lineRule="exact"/>
        <w:rPr>
          <w:sz w:val="24"/>
          <w:szCs w:val="24"/>
          <w:color w:val="auto"/>
        </w:rPr>
      </w:pPr>
    </w:p>
    <w:p>
      <w:pPr>
        <w:ind w:left="452" w:right="460"/>
        <w:spacing w:after="0" w:line="262" w:lineRule="auto"/>
        <w:rPr>
          <w:sz w:val="20"/>
          <w:szCs w:val="20"/>
          <w:color w:val="auto"/>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56" w:space="720"/>
            <w:col w:w="2944" w:space="328"/>
            <w:col w:w="2692"/>
          </w:cols>
          <w:pgMar w:left="480" w:top="223" w:right="479" w:bottom="1440" w:gutter="0" w:footer="0" w:header="0"/>
          <w:type w:val="continuous"/>
        </w:sectPr>
      </w:pPr>
    </w:p>
    <w:p>
      <w:pPr>
        <w:spacing w:after="0" w:line="19" w:lineRule="exact"/>
        <w:rPr>
          <w:sz w:val="24"/>
          <w:szCs w:val="24"/>
          <w:color w:val="auto"/>
        </w:rPr>
      </w:pPr>
    </w:p>
    <w:p>
      <w:pPr>
        <w:ind w:left="120"/>
        <w:spacing w:after="0"/>
        <w:tabs>
          <w:tab w:leader="none" w:pos="1120" w:val="left"/>
          <w:tab w:leader="none" w:pos="21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3"/>
          <w:szCs w:val="13"/>
          <w:color w:val="auto"/>
        </w:rPr>
        <w:t>(Zip)</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480" w:type="dxa"/>
            <w:vAlign w:val="bottom"/>
          </w:tcPr>
          <w:p>
            <w:pPr>
              <w:ind w:left="1520"/>
              <w:spacing w:after="0"/>
              <w:rPr>
                <w:sz w:val="20"/>
                <w:szCs w:val="20"/>
                <w:color w:val="auto"/>
              </w:rPr>
            </w:pPr>
            <w:r>
              <w:rPr>
                <w:rFonts w:ascii="Arial" w:cs="Arial" w:eastAsia="Arial" w:hAnsi="Arial"/>
                <w:sz w:val="14"/>
                <w:szCs w:val="14"/>
                <w:b w:val="1"/>
                <w:bCs w:val="1"/>
                <w:color w:val="auto"/>
              </w:rPr>
              <w:t>2. Amount of Securities</w:t>
            </w: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rPr>
              <w:t>3. Ownership</w:t>
            </w:r>
          </w:p>
        </w:tc>
        <w:tc>
          <w:tcPr>
            <w:tcW w:w="2920" w:type="dxa"/>
            <w:vAlign w:val="bottom"/>
          </w:tcPr>
          <w:p>
            <w:pPr>
              <w:ind w:left="140"/>
              <w:spacing w:after="0"/>
              <w:rPr>
                <w:sz w:val="20"/>
                <w:szCs w:val="20"/>
                <w:color w:val="auto"/>
              </w:rPr>
            </w:pPr>
            <w:r>
              <w:rPr>
                <w:rFonts w:ascii="Arial" w:cs="Arial" w:eastAsia="Arial" w:hAnsi="Arial"/>
                <w:sz w:val="14"/>
                <w:szCs w:val="14"/>
                <w:b w:val="1"/>
                <w:bCs w:val="1"/>
                <w:color w:val="auto"/>
              </w:rPr>
              <w:t>4. Nature of Indirect Beneficial</w:t>
            </w:r>
          </w:p>
        </w:tc>
      </w:tr>
      <w:tr>
        <w:trPr>
          <w:trHeight w:val="153"/>
        </w:trPr>
        <w:tc>
          <w:tcPr>
            <w:tcW w:w="3380" w:type="dxa"/>
            <w:vAlign w:val="bottom"/>
          </w:tcPr>
          <w:p>
            <w:pPr>
              <w:spacing w:after="0"/>
              <w:rPr>
                <w:sz w:val="13"/>
                <w:szCs w:val="13"/>
                <w:color w:val="auto"/>
              </w:rPr>
            </w:pPr>
          </w:p>
        </w:tc>
        <w:tc>
          <w:tcPr>
            <w:tcW w:w="3480" w:type="dxa"/>
            <w:vAlign w:val="bottom"/>
          </w:tcPr>
          <w:p>
            <w:pPr>
              <w:ind w:left="1520"/>
              <w:spacing w:after="0" w:line="153" w:lineRule="exact"/>
              <w:rPr>
                <w:sz w:val="20"/>
                <w:szCs w:val="20"/>
                <w:color w:val="auto"/>
              </w:rPr>
            </w:pPr>
            <w:r>
              <w:rPr>
                <w:rFonts w:ascii="Arial" w:cs="Arial" w:eastAsia="Arial" w:hAnsi="Arial"/>
                <w:sz w:val="14"/>
                <w:szCs w:val="14"/>
                <w:b w:val="1"/>
                <w:bCs w:val="1"/>
                <w:color w:val="auto"/>
              </w:rPr>
              <w:t>Beneficially Owned (Instr. 4)</w:t>
            </w:r>
          </w:p>
        </w:tc>
        <w:tc>
          <w:tcPr>
            <w:tcW w:w="116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Form: Direct</w:t>
            </w:r>
          </w:p>
        </w:tc>
        <w:tc>
          <w:tcPr>
            <w:tcW w:w="292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Ownership (Instr. 5)</w:t>
            </w:r>
          </w:p>
        </w:tc>
      </w:tr>
      <w:tr>
        <w:trPr>
          <w:trHeight w:val="153"/>
        </w:trPr>
        <w:tc>
          <w:tcPr>
            <w:tcW w:w="33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16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(D) or Indirect</w:t>
            </w:r>
          </w:p>
        </w:tc>
        <w:tc>
          <w:tcPr>
            <w:tcW w:w="2920" w:type="dxa"/>
            <w:vAlign w:val="bottom"/>
          </w:tcPr>
          <w:p>
            <w:pPr>
              <w:spacing w:after="0"/>
              <w:rPr>
                <w:sz w:val="13"/>
                <w:szCs w:val="13"/>
                <w:color w:val="auto"/>
              </w:rPr>
            </w:pPr>
          </w:p>
        </w:tc>
      </w:tr>
      <w:tr>
        <w:trPr>
          <w:trHeight w:val="192"/>
        </w:trPr>
        <w:tc>
          <w:tcPr>
            <w:tcW w:w="33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rPr>
              <w:t>(I) (Instr. 5)</w:t>
            </w:r>
          </w:p>
        </w:tc>
        <w:tc>
          <w:tcPr>
            <w:tcW w:w="2920" w:type="dxa"/>
            <w:vAlign w:val="bottom"/>
          </w:tcPr>
          <w:p>
            <w:pPr>
              <w:spacing w:after="0"/>
              <w:rPr>
                <w:sz w:val="16"/>
                <w:szCs w:val="16"/>
                <w:color w:val="auto"/>
              </w:rPr>
            </w:pPr>
          </w:p>
        </w:tc>
      </w:tr>
      <w:tr>
        <w:trPr>
          <w:trHeight w:val="79"/>
        </w:trPr>
        <w:tc>
          <w:tcPr>
            <w:tcW w:w="3380" w:type="dxa"/>
            <w:vAlign w:val="bottom"/>
            <w:tcBorders>
              <w:bottom w:val="single" w:sz="8" w:color="2C2C2C"/>
            </w:tcBorders>
          </w:tcPr>
          <w:p>
            <w:pPr>
              <w:spacing w:after="0"/>
              <w:rPr>
                <w:sz w:val="6"/>
                <w:szCs w:val="6"/>
                <w:color w:val="auto"/>
              </w:rPr>
            </w:pPr>
          </w:p>
        </w:tc>
        <w:tc>
          <w:tcPr>
            <w:tcW w:w="34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r>
    </w:tbl>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1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24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380" w:type="dxa"/>
            <w:vAlign w:val="bottom"/>
          </w:tcPr>
          <w:p>
            <w:pPr>
              <w:ind w:left="60"/>
              <w:spacing w:after="0"/>
              <w:rPr>
                <w:sz w:val="20"/>
                <w:szCs w:val="20"/>
                <w:color w:val="auto"/>
              </w:rPr>
            </w:pPr>
            <w:r>
              <w:rPr>
                <w:rFonts w:ascii="Arial" w:cs="Arial" w:eastAsia="Arial" w:hAnsi="Arial"/>
                <w:sz w:val="14"/>
                <w:szCs w:val="14"/>
                <w:b w:val="1"/>
                <w:bCs w:val="1"/>
                <w:color w:val="auto"/>
                <w:w w:val="98"/>
              </w:rPr>
              <w:t>6. Nature of Indirect</w:t>
            </w:r>
          </w:p>
        </w:tc>
        <w:tc>
          <w:tcPr>
            <w:tcW w:w="0" w:type="dxa"/>
            <w:vAlign w:val="bottom"/>
          </w:tcPr>
          <w:p>
            <w:pPr>
              <w:spacing w:after="0"/>
              <w:rPr>
                <w:sz w:val="1"/>
                <w:szCs w:val="1"/>
                <w:color w:val="auto"/>
              </w:rPr>
            </w:pPr>
          </w:p>
        </w:tc>
      </w:tr>
      <w:tr>
        <w:trPr>
          <w:trHeight w:val="153"/>
        </w:trPr>
        <w:tc>
          <w:tcPr>
            <w:tcW w:w="3240" w:type="dxa"/>
            <w:vAlign w:val="bottom"/>
          </w:tcPr>
          <w:p>
            <w:pPr>
              <w:spacing w:after="0"/>
              <w:rPr>
                <w:sz w:val="13"/>
                <w:szCs w:val="13"/>
                <w:color w:val="auto"/>
              </w:rPr>
            </w:pPr>
          </w:p>
        </w:tc>
        <w:tc>
          <w:tcPr>
            <w:tcW w:w="17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Underlying Derivative Security</w:t>
            </w:r>
          </w:p>
        </w:tc>
        <w:tc>
          <w:tcPr>
            <w:tcW w:w="90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Ownership</w:t>
            </w:r>
          </w:p>
        </w:tc>
        <w:tc>
          <w:tcPr>
            <w:tcW w:w="138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3"/>
        </w:trPr>
        <w:tc>
          <w:tcPr>
            <w:tcW w:w="3240" w:type="dxa"/>
            <w:vAlign w:val="bottom"/>
          </w:tcPr>
          <w:p>
            <w:pPr>
              <w:spacing w:after="0"/>
              <w:rPr>
                <w:sz w:val="13"/>
                <w:szCs w:val="13"/>
                <w:color w:val="auto"/>
              </w:rPr>
            </w:pPr>
          </w:p>
        </w:tc>
        <w:tc>
          <w:tcPr>
            <w:tcW w:w="17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(Month/Day/Year)</w:t>
            </w:r>
          </w:p>
        </w:tc>
        <w:tc>
          <w:tcPr>
            <w:tcW w:w="130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(Instr. 4)</w:t>
            </w:r>
          </w:p>
        </w:tc>
        <w:tc>
          <w:tcPr>
            <w:tcW w:w="1280" w:type="dxa"/>
            <w:vAlign w:val="bottom"/>
          </w:tcPr>
          <w:p>
            <w:pPr>
              <w:spacing w:after="0"/>
              <w:rPr>
                <w:sz w:val="13"/>
                <w:szCs w:val="13"/>
                <w:color w:val="auto"/>
              </w:rPr>
            </w:pPr>
          </w:p>
        </w:tc>
        <w:tc>
          <w:tcPr>
            <w:tcW w:w="90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Form:</w:t>
            </w:r>
          </w:p>
        </w:tc>
        <w:tc>
          <w:tcPr>
            <w:tcW w:w="1380" w:type="dxa"/>
            <w:vAlign w:val="bottom"/>
          </w:tcPr>
          <w:p>
            <w:pPr>
              <w:ind w:left="60"/>
              <w:spacing w:after="0" w:line="153" w:lineRule="exact"/>
              <w:rPr>
                <w:sz w:val="20"/>
                <w:szCs w:val="20"/>
                <w:color w:val="auto"/>
              </w:rPr>
            </w:pPr>
            <w:r>
              <w:rPr>
                <w:rFonts w:ascii="Arial" w:cs="Arial" w:eastAsia="Arial" w:hAnsi="Arial"/>
                <w:sz w:val="14"/>
                <w:szCs w:val="14"/>
                <w:b w:val="1"/>
                <w:bCs w:val="1"/>
                <w:color w:val="auto"/>
                <w:w w:val="98"/>
              </w:rPr>
              <w:t>Ownership (Instr. 5)</w:t>
            </w:r>
          </w:p>
        </w:tc>
        <w:tc>
          <w:tcPr>
            <w:tcW w:w="0" w:type="dxa"/>
            <w:vAlign w:val="bottom"/>
          </w:tcPr>
          <w:p>
            <w:pPr>
              <w:spacing w:after="0"/>
              <w:rPr>
                <w:sz w:val="1"/>
                <w:szCs w:val="1"/>
                <w:color w:val="auto"/>
              </w:rPr>
            </w:pPr>
          </w:p>
        </w:tc>
      </w:tr>
      <w:tr>
        <w:trPr>
          <w:trHeight w:val="78"/>
        </w:trPr>
        <w:tc>
          <w:tcPr>
            <w:tcW w:w="324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900" w:type="dxa"/>
            <w:vAlign w:val="bottom"/>
            <w:vMerge w:val="restart"/>
          </w:tcPr>
          <w:p>
            <w:pPr>
              <w:ind w:left="60"/>
              <w:spacing w:after="0" w:line="153"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53" w:lineRule="exact"/>
              <w:rPr>
                <w:sz w:val="20"/>
                <w:szCs w:val="20"/>
                <w:color w:val="auto"/>
              </w:rPr>
            </w:pPr>
            <w:r>
              <w:rPr>
                <w:rFonts w:ascii="Arial" w:cs="Arial" w:eastAsia="Arial" w:hAnsi="Arial"/>
                <w:sz w:val="14"/>
                <w:szCs w:val="14"/>
                <w:b w:val="1"/>
                <w:bCs w:val="1"/>
                <w:color w:val="auto"/>
              </w:rPr>
              <w:t>Direct (D)</w:t>
            </w: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3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900" w:type="dxa"/>
            <w:vAlign w:val="bottom"/>
          </w:tcPr>
          <w:p>
            <w:pPr>
              <w:ind w:left="60"/>
              <w:spacing w:after="0" w:line="140"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0" w:lineRule="exact"/>
              <w:rPr>
                <w:sz w:val="20"/>
                <w:szCs w:val="20"/>
                <w:color w:val="auto"/>
              </w:rPr>
            </w:pPr>
            <w:r>
              <w:rPr>
                <w:rFonts w:ascii="Arial" w:cs="Arial" w:eastAsia="Arial" w:hAnsi="Arial"/>
                <w:sz w:val="14"/>
                <w:szCs w:val="14"/>
                <w:b w:val="1"/>
                <w:bCs w:val="1"/>
                <w:color w:val="auto"/>
              </w:rPr>
              <w:t>or Indirect</w:t>
            </w: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tcPr>
          <w:p>
            <w:pPr>
              <w:ind w:left="680"/>
              <w:spacing w:after="0" w:line="153"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(I) (Instr. 5)</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Expiration</w:t>
            </w:r>
          </w:p>
        </w:tc>
        <w:tc>
          <w:tcPr>
            <w:tcW w:w="1300" w:type="dxa"/>
            <w:vAlign w:val="bottom"/>
          </w:tcPr>
          <w:p>
            <w:pPr>
              <w:spacing w:after="0"/>
              <w:rPr>
                <w:sz w:val="13"/>
                <w:szCs w:val="13"/>
                <w:color w:val="auto"/>
              </w:rPr>
            </w:pPr>
          </w:p>
        </w:tc>
        <w:tc>
          <w:tcPr>
            <w:tcW w:w="1280" w:type="dxa"/>
            <w:vAlign w:val="bottom"/>
          </w:tcPr>
          <w:p>
            <w:pPr>
              <w:ind w:left="680"/>
              <w:spacing w:after="0" w:line="153"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280" w:type="dxa"/>
            <w:vAlign w:val="bottom"/>
          </w:tcPr>
          <w:p>
            <w:pPr>
              <w:ind w:left="680"/>
              <w:spacing w:after="0" w:line="153"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300" w:type="dxa"/>
            <w:vAlign w:val="bottom"/>
            <w:vMerge w:val="continue"/>
          </w:tcPr>
          <w:p>
            <w:pPr>
              <w:spacing w:after="0"/>
              <w:rPr>
                <w:sz w:val="16"/>
                <w:szCs w:val="16"/>
                <w:color w:val="auto"/>
              </w:rPr>
            </w:pPr>
          </w:p>
        </w:tc>
        <w:tc>
          <w:tcPr>
            <w:tcW w:w="1280" w:type="dxa"/>
            <w:vAlign w:val="bottom"/>
          </w:tcPr>
          <w:p>
            <w:pPr>
              <w:ind w:left="6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List: EX-24 Power of Attorney signed by Todd D. Heeter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20"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8"/>
          <w:szCs w:val="18"/>
          <w:color w:val="0000FF"/>
        </w:rPr>
        <w:t>Dirk Andringa, Attorney-in-</w:t>
      </w:r>
      <w:r>
        <w:rPr>
          <w:sz w:val="20"/>
          <w:szCs w:val="20"/>
          <w:color w:val="auto"/>
        </w:rPr>
        <w:tab/>
      </w:r>
      <w:r>
        <w:rPr>
          <w:rFonts w:ascii="Times New Roman" w:cs="Times New Roman" w:eastAsia="Times New Roman" w:hAnsi="Times New Roman"/>
          <w:sz w:val="26"/>
          <w:szCs w:val="26"/>
          <w:color w:val="0000FF"/>
          <w:vertAlign w:val="subscript"/>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4176395</wp:posOffset>
            </wp:positionH>
            <wp:positionV relativeFrom="paragraph">
              <wp:posOffset>-29845</wp:posOffset>
            </wp:positionV>
            <wp:extent cx="1305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5560" cy="889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4176395</wp:posOffset>
            </wp:positionH>
            <wp:positionV relativeFrom="paragraph">
              <wp:posOffset>-19685</wp:posOffset>
            </wp:positionV>
            <wp:extent cx="198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8120" cy="8890"/>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-90170</wp:posOffset>
            </wp:positionV>
            <wp:extent cx="523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3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8" w:lineRule="exact"/>
        <w:rPr>
          <w:sz w:val="24"/>
          <w:szCs w:val="24"/>
          <w:color w:val="auto"/>
        </w:rPr>
      </w:pPr>
    </w:p>
    <w:p>
      <w:pPr>
        <w:jc w:val="both"/>
        <w:ind w:left="40" w:right="2880" w:hanging="7"/>
        <w:spacing w:after="0" w:line="335" w:lineRule="auto"/>
        <w:tabs>
          <w:tab w:leader="none" w:pos="18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23" w:right="479" w:bottom="1440" w:gutter="0" w:footer="0" w:header="0"/>
          <w:type w:val="continuous"/>
        </w:sectPr>
      </w:pPr>
    </w:p>
    <w:bookmarkStart w:id="1" w:name="page2"/>
    <w:bookmarkEnd w:id="1"/>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EX-24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19050</wp:posOffset>
            </wp:positionV>
            <wp:extent cx="6109335" cy="35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109335" cy="355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3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for</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Executing Forms 3, 4, and 5 Pursuant to Section 16(a) of the Securities Exchange Act</w:t>
      </w:r>
    </w:p>
    <w:p>
      <w:pPr>
        <w:spacing w:after="0" w:line="221" w:lineRule="exact"/>
        <w:rPr>
          <w:sz w:val="20"/>
          <w:szCs w:val="20"/>
          <w:color w:val="auto"/>
        </w:rPr>
      </w:pPr>
    </w:p>
    <w:p>
      <w:pPr>
        <w:ind w:left="720" w:right="779"/>
        <w:spacing w:after="0" w:line="26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the Chief Legal Officer (currently Eric A. Braun) of Hub Group, Inc. (the "Company") and his designee, signing singly, as the undersigned's true and lawful attorney-in-fact to:</w:t>
      </w:r>
    </w:p>
    <w:p>
      <w:pPr>
        <w:spacing w:after="0" w:line="185" w:lineRule="exact"/>
        <w:rPr>
          <w:sz w:val="20"/>
          <w:szCs w:val="20"/>
          <w:color w:val="auto"/>
        </w:rPr>
      </w:pPr>
    </w:p>
    <w:p>
      <w:pPr>
        <w:ind w:left="1580" w:right="1679" w:hanging="264"/>
        <w:spacing w:after="0" w:line="265" w:lineRule="auto"/>
        <w:tabs>
          <w:tab w:leader="none" w:pos="15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and amendments thereto in accordance with Section 16(a) of the Securities Exchange Act of 1934 and the rules thereunder;</w:t>
      </w:r>
    </w:p>
    <w:p>
      <w:pPr>
        <w:spacing w:after="0" w:line="184" w:lineRule="exact"/>
        <w:rPr>
          <w:rFonts w:ascii="Times New Roman" w:cs="Times New Roman" w:eastAsia="Times New Roman" w:hAnsi="Times New Roman"/>
          <w:sz w:val="20"/>
          <w:szCs w:val="20"/>
          <w:color w:val="auto"/>
        </w:rPr>
      </w:pPr>
    </w:p>
    <w:p>
      <w:pPr>
        <w:ind w:left="1580" w:right="1059" w:hanging="264"/>
        <w:spacing w:after="0" w:line="259" w:lineRule="auto"/>
        <w:tabs>
          <w:tab w:leader="none" w:pos="15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amendment thereto, and timely file such document with the United States Securities and Exchange Commission and any other authority; and</w:t>
      </w:r>
    </w:p>
    <w:p>
      <w:pPr>
        <w:spacing w:after="0" w:line="190" w:lineRule="exact"/>
        <w:rPr>
          <w:rFonts w:ascii="Times New Roman" w:cs="Times New Roman" w:eastAsia="Times New Roman" w:hAnsi="Times New Roman"/>
          <w:sz w:val="20"/>
          <w:szCs w:val="20"/>
          <w:color w:val="auto"/>
        </w:rPr>
      </w:pPr>
    </w:p>
    <w:p>
      <w:pPr>
        <w:ind w:left="1580" w:right="979" w:hanging="264"/>
        <w:spacing w:after="0" w:line="253" w:lineRule="auto"/>
        <w:tabs>
          <w:tab w:leader="none" w:pos="15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6" w:lineRule="exact"/>
        <w:rPr>
          <w:sz w:val="20"/>
          <w:szCs w:val="20"/>
          <w:color w:val="auto"/>
        </w:rPr>
      </w:pPr>
    </w:p>
    <w:p>
      <w:pPr>
        <w:ind w:left="700" w:right="799" w:firstLine="616"/>
        <w:spacing w:after="0" w:line="250"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45" w:lineRule="exact"/>
        <w:rPr>
          <w:sz w:val="20"/>
          <w:szCs w:val="20"/>
          <w:color w:val="auto"/>
        </w:rPr>
      </w:pPr>
    </w:p>
    <w:p>
      <w:pPr>
        <w:ind w:left="700" w:right="1079" w:firstLine="600"/>
        <w:spacing w:after="0" w:line="259"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1" w:lineRule="exact"/>
        <w:rPr>
          <w:sz w:val="20"/>
          <w:szCs w:val="20"/>
          <w:color w:val="auto"/>
        </w:rPr>
      </w:pPr>
    </w:p>
    <w:p>
      <w:pPr>
        <w:ind w:left="700" w:right="1039" w:firstLine="388"/>
        <w:spacing w:after="0" w:line="29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on this 28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0"/>
          <w:szCs w:val="20"/>
          <w:color w:val="auto"/>
        </w:rPr>
        <w:t xml:space="preserve"> day of May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/s/ Todd D. Heeter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-6985</wp:posOffset>
            </wp:positionV>
            <wp:extent cx="1036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6320" cy="8890"/>
                    </a:xfrm>
                    <a:prstGeom prst="rect">
                      <a:avLst/>
                    </a:prstGeom>
                    <a:noFill/>
                  </pic:spPr>
                </pic:pic>
              </a:graphicData>
            </a:graphic>
          </wp:anchor>
        </w:drawing>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Name: Todd D. Heeter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1158875</wp:posOffset>
            </wp:positionV>
            <wp:extent cx="704151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1515" cy="4318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2137762" TargetMode="External"/><Relationship Id="rId11" Type="http://schemas.openxmlformats.org/officeDocument/2006/relationships/hyperlink" Target="http://www.sec.gov/cgi-bin/browse-edgar?action=getcompany&amp;CIK=00009409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2026-06-03T15:11:08Z</dcterms:created>
  <dcterms:modified xsi:type="dcterms:W3CDTF">2026-06-03T15:11:08Z</dcterms:modified>
</cp:coreProperties>
</file>