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82550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31" w:lineRule="exact"/>
        <w:rPr>
          <w:rFonts w:ascii="MS PGothic" w:cs="MS PGothic" w:eastAsia="MS PGothic" w:hAnsi="MS PGothic"/>
          <w:sz w:val="18"/>
          <w:szCs w:val="18"/>
          <w:color w:val="auto"/>
          <w:highlight w:val="black"/>
        </w:rPr>
      </w:pPr>
    </w:p>
    <w:p>
      <w:pPr>
        <w:ind w:left="39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For the fiscal year ended December 31, 2024 or</w:t>
      </w:r>
    </w:p>
    <w:p>
      <w:pPr>
        <w:ind w:left="480" w:hanging="459"/>
        <w:spacing w:after="0" w:line="181" w:lineRule="auto"/>
        <w:tabs>
          <w:tab w:leader="none" w:pos="48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1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 to _____</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No. 0-27754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HUB GROUP, INC.</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p>
      <w:pPr>
        <w:spacing w:after="0" w:line="20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36-4007085</w:t>
      </w:r>
    </w:p>
    <w:p>
      <w:pPr>
        <w:spacing w:after="0" w:line="28"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117" w:lineRule="exact"/>
        <w:rPr>
          <w:sz w:val="24"/>
          <w:szCs w:val="24"/>
          <w:color w:val="auto"/>
        </w:rPr>
      </w:pPr>
    </w:p>
    <w:p>
      <w:pPr>
        <w:sectPr>
          <w:pgSz w:w="11900" w:h="16838" w:orient="portrait"/>
          <w:cols w:equalWidth="0" w:num="2">
            <w:col w:w="6480" w:space="720"/>
            <w:col w:w="4040"/>
          </w:cols>
          <w:pgMar w:left="320" w:top="1182"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2001 Hub Group Way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Oak Brook, IL 60523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of principal executive offices)</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(630) 271-3600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42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$0.01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HUBG</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right="344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8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80"/>
        <w:spacing w:after="0" w:line="161" w:lineRule="exact"/>
        <w:tabs>
          <w:tab w:leader="none" w:pos="2300" w:val="left"/>
          <w:tab w:leader="none" w:pos="4060" w:val="left"/>
          <w:tab w:leader="none" w:pos="6240" w:val="left"/>
          <w:tab w:leader="none" w:pos="87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4"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6"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Registrant’s voting stock held by non-affiliates on June 30, 2024, based upon the last reported sale price on that date on the NASDAQ Global Select Market of $43.05 per share, was $2,589,081,372.</w:t>
      </w:r>
    </w:p>
    <w:p>
      <w:pPr>
        <w:spacing w:after="0" w:line="1" w:lineRule="exact"/>
        <w:rPr>
          <w:sz w:val="24"/>
          <w:szCs w:val="24"/>
          <w:color w:val="auto"/>
        </w:rPr>
      </w:pPr>
    </w:p>
    <w:p>
      <w:pPr>
        <w:ind w:right="320"/>
        <w:spacing w:after="0" w:line="233" w:lineRule="auto"/>
        <w:rPr>
          <w:sz w:val="20"/>
          <w:szCs w:val="20"/>
          <w:color w:val="auto"/>
        </w:rPr>
      </w:pPr>
      <w:r>
        <w:rPr>
          <w:rFonts w:ascii="Times New Roman" w:cs="Times New Roman" w:eastAsia="Times New Roman" w:hAnsi="Times New Roman"/>
          <w:sz w:val="14"/>
          <w:szCs w:val="14"/>
          <w:color w:val="auto"/>
        </w:rPr>
        <w:t>On February 18, 2025, the Registrant had 60,927,849 outstanding shares of Class A Common Stock, par value $.01 per share, and 574,903 outstanding shares of Class B Common Stock, par value $.01 per share.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ind w:right="100"/>
        <w:spacing w:after="0" w:line="239" w:lineRule="auto"/>
        <w:rPr>
          <w:sz w:val="20"/>
          <w:szCs w:val="20"/>
          <w:color w:val="auto"/>
        </w:rPr>
      </w:pPr>
      <w:r>
        <w:rPr>
          <w:rFonts w:ascii="Times New Roman" w:cs="Times New Roman" w:eastAsia="Times New Roman" w:hAnsi="Times New Roman"/>
          <w:sz w:val="14"/>
          <w:szCs w:val="14"/>
          <w:color w:val="auto"/>
        </w:rPr>
        <w:t>The Registrant’s definitive Proxy Statement for the Annual Meeting of Stockholders to be held on May 13, 2025 (the “Proxy Statement”) is incorporated by reference in Part III of this Form 10-K to the extent stated herein. Except with respect to information specifically incorporated by reference in this Form 10-K, the Proxy Statement is not deemed to be filed as a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4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HUB GROUP, INC.</w:t>
            </w:r>
          </w:p>
        </w:tc>
        <w:tc>
          <w:tcPr>
            <w:tcW w:w="188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80" w:type="dxa"/>
            <w:vAlign w:val="bottom"/>
          </w:tcPr>
          <w:p>
            <w:pPr>
              <w:spacing w:after="0"/>
              <w:rPr>
                <w:sz w:val="24"/>
                <w:szCs w:val="24"/>
                <w:color w:val="auto"/>
              </w:rPr>
            </w:pPr>
          </w:p>
        </w:tc>
      </w:tr>
      <w:tr>
        <w:trPr>
          <w:trHeight w:val="705"/>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442"/>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5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8000" w:type="dxa"/>
            <w:vAlign w:val="bottom"/>
            <w:gridSpan w:val="18"/>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453"/>
        </w:trPr>
        <w:tc>
          <w:tcPr>
            <w:tcW w:w="22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b w:val="1"/>
                <w:bCs w:val="1"/>
                <w:color w:val="0000FF"/>
              </w:rPr>
              <w:t>Item 1B Unresolved Staff Comments</w:t>
            </w:r>
          </w:p>
        </w:tc>
        <w:tc>
          <w:tcPr>
            <w:tcW w:w="7060" w:type="dxa"/>
            <w:vAlign w:val="bottom"/>
            <w:gridSpan w:val="12"/>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1C Cybersecurity</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453"/>
        </w:trPr>
        <w:tc>
          <w:tcPr>
            <w:tcW w:w="10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b w:val="1"/>
                <w:bCs w:val="1"/>
                <w:color w:val="0000FF"/>
              </w:rPr>
              <w:t>Item 2 Properties</w:t>
            </w:r>
          </w:p>
        </w:tc>
        <w:tc>
          <w:tcPr>
            <w:tcW w:w="320" w:type="dxa"/>
            <w:vAlign w:val="bottom"/>
            <w:tcBorders>
              <w:top w:val="single" w:sz="8" w:color="0000EE"/>
            </w:tcBorders>
            <w:gridSpan w:val="2"/>
          </w:tcPr>
          <w:p>
            <w:pPr>
              <w:spacing w:after="0"/>
              <w:rPr>
                <w:sz w:val="24"/>
                <w:szCs w:val="24"/>
                <w:color w:val="auto"/>
              </w:rPr>
            </w:pPr>
          </w:p>
        </w:tc>
        <w:tc>
          <w:tcPr>
            <w:tcW w:w="7920" w:type="dxa"/>
            <w:vAlign w:val="bottom"/>
            <w:gridSpan w:val="17"/>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453"/>
        </w:trPr>
        <w:tc>
          <w:tcPr>
            <w:tcW w:w="1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Item 3 Legal Proceedings</w:t>
            </w:r>
          </w:p>
        </w:tc>
        <w:tc>
          <w:tcPr>
            <w:tcW w:w="7760" w:type="dxa"/>
            <w:vAlign w:val="bottom"/>
            <w:gridSpan w:val="16"/>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4 Mine Safe Disclosures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453"/>
        </w:trPr>
        <w:tc>
          <w:tcPr>
            <w:tcW w:w="18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7460" w:type="dxa"/>
            <w:vAlign w:val="bottom"/>
            <w:gridSpan w:val="14"/>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5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5 Market For Registrant's Common Equity and Related Stockholder Matters and Issuer Purchases of Equity Securities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453"/>
        </w:trPr>
        <w:tc>
          <w:tcPr>
            <w:tcW w:w="764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4"/>
                <w:szCs w:val="14"/>
                <w:b w:val="1"/>
                <w:bCs w:val="1"/>
                <w:color w:val="0000FF"/>
              </w:rPr>
              <w:t>Item 6 Reserved</w:t>
            </w:r>
          </w:p>
        </w:tc>
        <w:tc>
          <w:tcPr>
            <w:tcW w:w="16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7 Management’s Discussion and Analysis of Financial Condition and Results of Operations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453"/>
        </w:trPr>
        <w:tc>
          <w:tcPr>
            <w:tcW w:w="59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4"/>
                <w:szCs w:val="14"/>
                <w:b w:val="1"/>
                <w:bCs w:val="1"/>
                <w:color w:val="0000FF"/>
              </w:rPr>
              <w:t>Item 7A Quantitative and Qualitative Disclosures About Market Risk</w:t>
            </w:r>
          </w:p>
        </w:tc>
        <w:tc>
          <w:tcPr>
            <w:tcW w:w="342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453"/>
        </w:trPr>
        <w:tc>
          <w:tcPr>
            <w:tcW w:w="32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b w:val="1"/>
                <w:bCs w:val="1"/>
                <w:color w:val="0000FF"/>
              </w:rPr>
              <w:t>Item 8 Financial Statements and Supplemental Data</w:t>
            </w:r>
          </w:p>
        </w:tc>
        <w:tc>
          <w:tcPr>
            <w:tcW w:w="1040" w:type="dxa"/>
            <w:vAlign w:val="bottom"/>
            <w:tcBorders>
              <w:top w:val="single" w:sz="8" w:color="0000EE"/>
            </w:tcBorders>
            <w:gridSpan w:val="2"/>
          </w:tcPr>
          <w:p>
            <w:pPr>
              <w:spacing w:after="0"/>
              <w:rPr>
                <w:sz w:val="24"/>
                <w:szCs w:val="24"/>
                <w:color w:val="auto"/>
              </w:rPr>
            </w:pPr>
          </w:p>
        </w:tc>
        <w:tc>
          <w:tcPr>
            <w:tcW w:w="5060" w:type="dxa"/>
            <w:vAlign w:val="bottom"/>
            <w:gridSpan w:val="7"/>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452"/>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9 Changes in and Disagreements with Accountants on Accounting and Financial Disclosure</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9A Controls and Procedures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9B Other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9C Disclosure Regarding Foreign Jurisdiction that Prevent Inspections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EE"/>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10 Directors, Executive Officers and Corporate Governance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11 Executive Compensation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12 Security Ownership of Certain Beneficial Owners and Management and Related Stockholder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13 Certain Relationships and Related Transactions, and Director Independence</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2"/>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14 Principal Accountant Fees and Services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6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15 Exhibits and Financial Statement Schedules</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1860" w:type="dxa"/>
            <w:vAlign w:val="bottom"/>
            <w:tcBorders>
              <w:left w:val="single" w:sz="8" w:color="0000EE"/>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93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0000FF"/>
              </w:rPr>
              <w:t>Item 16 Form 10-K Summary</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20"/>
        </w:trPr>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553085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05" w:right="359" w:bottom="812"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Statements in this Annual Report on Form 10-K that are not historical facts are forward-looking statements, provided pursuant to the safe harbor established under the Private Securities Litigation Reform Act of 1995. These forward-looking statements are not guarantees of future performance and involve risks, uncertainties and other factors that might cause the actual performance of the Company to differ materially from those expressed or implied by this discussion and, therefore, should be viewed with caution. Further information on the risks that may affect the Company’s business is included under Item 1A “Risk Factors” and in subsequent filings the Company makes with the SEC from time to time. The Company assumes no obligation to update any such forward-looking statements.</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Hub Group, Inc. (the “Company”, “Hub”, “we”, “us” or “our”) is a leading supply chain solutions provider that offers comprehensive transportation and logistics management services focused on reliability, visibility and value for our customers. Our mission is to continuously elevate each customer’s business to drive long term success. Our vision is to build the industry’s premier supply chain solution. Our service offerings include a full range of freight transportation and logistics services, some of which are provided using assets we own and operate, and some of which are provided by third parties with whom we contract. We have two reportable segments: Intermodal and Transportation Solutions (“ITS”) and Logistics which are based primarily on the services each segment provides. Our ITS segment includes our intermodal and dedicated trucking. Our Logistics segment includes full outsource logistics solutions, transportation management services, consolidation and fulfillment services and final mile delivery services. Logistics also includes our brokerage business which provides third-party truckload, less-than-truckload (“LTL”), flatbed and temperature-controlled needs.</w:t>
      </w:r>
    </w:p>
    <w:p>
      <w:pPr>
        <w:spacing w:after="0" w:line="84"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are one of the largest freight transportation providers in North America. We service a large and diversified customer base in a broad range of industries, including retail, consumer products, automotive and durable goods. We believe our strategy to offer multi-modal supply chain management solutions serves to strengthen and deepen our relationships with our customers and allows us to provide a more cost effective and higher service solution.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employ sales and marketing representatives throughout North America who service local, regional and national accounts. We believe that fostering long-term customer relationships is critical to our success and allows us to better understand our customers’ needs and specifically tailor the transportation and logistics services we provide to them.</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business is seasonal to the extent that certain customer groups and their shipping demand, such as retail, are seasonal. A significant portion of our revenue and earnings is related to the provision of services to customers who serve consumer end markets in North America. As such, our business generally experiences a higher level of demand during the time leading up to the December holidays, as our customers seek to build their inventories by moving their goods into distribution centers (both their own, as well as locations that we operate) and retail store locations in the second half of the calendar year.</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transportation and logistics services industry is highly competitive. We compete against intermodal providers, logistics companies, third-party brokers, trucking carriers, transportation management providers, warehousing providers and railroads that market their own services. Competition is based primarily on rates charged for services provided, quality of service, reliability, transit time and scope of operations.</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service offering facilitates our customers’ desires for energy-efficient transportation and logistics solutions and assists in meeting their objectives to reduce their environmental footprint. Our intermodal service is significantly more fuel efficient as compared to trucking transportation, and we continually seek opportunities to convert our customers’ transportation needs from trucking to intermodal. In addition, our logistics offering includes shipment consolidation and network optimization services that seek to maximize the amount of freight carried per mile which reduces fuel consumption. One of the objectives of our investment strategy is to replace older model tractors with newer, more energy-efficient equipment. Our GPS-enabled container fleet allows for our truck drivers and third-party carriers to efficiently locate our containers without driving wasted miles. We are an Environmental Protection Agency (EPA) SmartWay® Transport Partner, having been awarded the EPA’s SmartWay® Excellence Award nine times since its inception. Our headquarter buildings in Oak Brook, IL are certified as “Gold” by the Leadership in Energy and Environmental Design (LEED®) organization. Please see the Investors section of our website (</w:t>
      </w:r>
      <w:r>
        <w:rPr>
          <w:rFonts w:ascii="Times New Roman" w:cs="Times New Roman" w:eastAsia="Times New Roman" w:hAnsi="Times New Roman"/>
          <w:sz w:val="18"/>
          <w:szCs w:val="18"/>
          <w:i w:val="1"/>
          <w:iCs w:val="1"/>
          <w:color w:val="auto"/>
        </w:rPr>
        <w:t>investors.hubgroup.com</w:t>
      </w:r>
      <w:r>
        <w:rPr>
          <w:rFonts w:ascii="Times New Roman" w:cs="Times New Roman" w:eastAsia="Times New Roman" w:hAnsi="Times New Roman"/>
          <w:sz w:val="18"/>
          <w:szCs w:val="18"/>
          <w:color w:val="auto"/>
        </w:rPr>
        <w:t>) for additional information on our environmental, social and governance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ind w:left="380"/>
        <w:spacing w:after="0"/>
        <w:rPr>
          <w:sz w:val="20"/>
          <w:szCs w:val="20"/>
          <w:color w:val="auto"/>
        </w:rPr>
      </w:pPr>
      <w:r>
        <w:rPr>
          <w:rFonts w:ascii="Times New Roman" w:cs="Times New Roman" w:eastAsia="Times New Roman" w:hAnsi="Times New Roman"/>
          <w:sz w:val="18"/>
          <w:szCs w:val="18"/>
          <w:color w:val="auto"/>
        </w:rPr>
        <w:t>Our strategy to grow revenue, net income and cash flow includes the following elements:</w:t>
      </w:r>
    </w:p>
    <w:p>
      <w:pPr>
        <w:spacing w:after="0" w:line="117" w:lineRule="exact"/>
        <w:rPr>
          <w:sz w:val="20"/>
          <w:szCs w:val="20"/>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and diversify our customer relationships through a best-in-class customer experience across all of our service offerings;</w:t>
      </w:r>
    </w:p>
    <w:p>
      <w:pPr>
        <w:spacing w:after="0" w:line="117"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organically develop new service offerings for our customers that will diversify our revenue streams and deliver sophisticated supply chain solutions;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assets, such as containers and tractors, to drive organic growth and reduce our costs;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 industry leading information technology platform to drive growth and efficiency and support future innovations;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a culture that continues to enable innovation, service and teamwork.</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committed to investing in technology to facilitate the growth of our business while enabling efficiency in our operations. Our digital strategy leverages advanced technology for our core operating systems, while we invest in emerging technologies to achieve our business goals and enable innovative solutions for our stakeholders, which include customers, drivers, vendors and employees. We continue to make significant investment in refreshing critical technology for key functions including customer management, pricing, and order to cash processes, while enabling advanced technologies for data mining and trend analysis.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the Business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been a leader in the intermodal industry since our business was founded in 1971. Today we generate approximately $4 billion in annual revenue, having grown through the addition of new customers, through cross-selling our services to our customer base, by investing in equipment such as containers and tractors, by developing new service offerings, and through the acquisitions of new business lines.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regularly evaluate acquisitions as a component of our strategy to enhance our core business lines and diversify our service offerings. Our recent strategic transactions include the following:</w:t>
      </w:r>
    </w:p>
    <w:p>
      <w:pPr>
        <w:spacing w:after="0" w:line="5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EASO Transaction. </w:t>
      </w:r>
      <w:r>
        <w:rPr>
          <w:rFonts w:ascii="Times New Roman" w:cs="Times New Roman" w:eastAsia="Times New Roman" w:hAnsi="Times New Roman"/>
          <w:sz w:val="18"/>
          <w:szCs w:val="18"/>
          <w:color w:val="auto"/>
        </w:rPr>
        <w:t>On October 23, 2024, we entered into an investment agreement with Corporación Interamericana de Logística, S.A. de C.V.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certain associated entities (commonly known as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EASO</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a family-led, intermodal and trucking logistics provider headquartered in Mexico City to acquire a controlling interest in EASO. EASO specializes in intermodal, dedicated trucking, truckload and freight brokerage services. Through a network of terminals across Mexico, EASO serves the entire Mexican domestic market and main logistics hubs in the U.S. using its intermodal cross-border network. The financial results of EASO, since the date of acquisition, are included in our ITS segment.</w:t>
      </w:r>
    </w:p>
    <w:p>
      <w:pPr>
        <w:spacing w:after="0" w:line="7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Forward Air Final Mile Acquisition. </w:t>
      </w:r>
      <w:r>
        <w:rPr>
          <w:rFonts w:ascii="Times New Roman" w:cs="Times New Roman" w:eastAsia="Times New Roman" w:hAnsi="Times New Roman"/>
          <w:sz w:val="18"/>
          <w:szCs w:val="18"/>
          <w:color w:val="auto"/>
        </w:rPr>
        <w:t>On December 20, 2023, we acquired 100% of the equity interests of Forward Air Final Mile (“FAFM”). FAFM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residential last mile delivery services and installation of big and bulky goods, with a focus on appliances, throughout the United States. The financial results of FAFM, since the date of acquisition, are included in our Logistics segment.</w:t>
      </w:r>
    </w:p>
    <w:p>
      <w:pPr>
        <w:spacing w:after="0" w:line="6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TAGG Acquisition. </w:t>
      </w:r>
      <w:r>
        <w:rPr>
          <w:rFonts w:ascii="Times New Roman" w:cs="Times New Roman" w:eastAsia="Times New Roman" w:hAnsi="Times New Roman"/>
          <w:sz w:val="18"/>
          <w:szCs w:val="18"/>
          <w:color w:val="auto"/>
        </w:rPr>
        <w:t>On August 22, 2022, we acquired 100% of the equity interests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TAGG Logistics, LLC (“TAGG”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The acquisition expanded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 xml:space="preserve">presence in the consolidation and fulfillment space and added a complementary e-commerce offering to serve our customers' multimodal transportation and logistics needs. The acquisition added scale to our logistics service line and has enabled cross-selling opportunities. </w:t>
      </w:r>
      <w:r>
        <w:rPr>
          <w:rFonts w:ascii="Times New Roman" w:cs="Times New Roman" w:eastAsia="Times New Roman" w:hAnsi="Times New Roman"/>
          <w:sz w:val="18"/>
          <w:szCs w:val="18"/>
          <w:color w:val="000000"/>
        </w:rPr>
        <w:t>The financial results of TAGG, since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date of acquisition, are included in our Logistics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Provided</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have two reportable segments: Intermodal and Transportation Solutions (“ITS”) and Logistics which are based primarily on the services each segment provides.</w:t>
      </w:r>
    </w:p>
    <w:p>
      <w:pPr>
        <w:spacing w:after="0" w:line="5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Intermodal and transportation solutions. </w:t>
      </w:r>
      <w:r>
        <w:rPr>
          <w:rFonts w:ascii="Times New Roman" w:cs="Times New Roman" w:eastAsia="Times New Roman" w:hAnsi="Times New Roman"/>
          <w:sz w:val="18"/>
          <w:szCs w:val="18"/>
          <w:color w:val="auto"/>
        </w:rPr>
        <w:t>Our ITS segment offers high service, nationwide door-to-door intermodal transportation, providing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visibility and reliability in both transcontinental and local lanes by combining rail transportation with local trucking. Our service offering is well positioned to assist our customers in reducing their transportation spend and achieving their carbon emissions objectives. As an intermodal provider, we arrange for the movement of our customers’ freight in one of our containers, typically over long distances of 750 miles or more. We contract with railroads to provide transportation for the long-haul portion of the shipment between rail terminals. Local pickup and delivery services (referred to as “drayage”) between origin or destination and rail terminals are provided by our own trucking operations and third parties with whom we contract. Our predictive track and trace technology monitors the shipment to ensure that it arrives as scheduled and provides notification to our customer service personnel if there are service delays. As of December 31, 2024, we owned approximately 50,000 dry, 53-foot containers and 900 refrigerated 53-foot containers.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our trucking transportation operation consisted of approximately 2,300 tractors, 3,200 employee drivers and 4,700 trailers. We also contract for services with approximately 500 independent owner-operators who supply their own equipment and operate under our regulatory authority. These assets and contractual services are used to support drayage for our intermodal service</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offering and to serve our customers who require high service local and regional trucking transportation using equipment dedicated to their needs. Our dedicated service operation offers fleets of equipment and drivers to each customer on a contract basis, as well as the management and infrastructure to operate according to the customer’s high service expectations.</w:t>
      </w:r>
    </w:p>
    <w:p>
      <w:pPr>
        <w:spacing w:after="0" w:line="68"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During 2024, approximately 73% of our drayage needs were provided by our own fleet, which includes our drivers and tractors and owner operators with whom we contracted operating under our motor carrier authority. As of December 31, 2024, we operated trucking terminals at 32 locations throughout the United States and Mexico, with locations in many large metropolitan areas.</w:t>
      </w:r>
    </w:p>
    <w:p>
      <w:pPr>
        <w:spacing w:after="0" w:line="6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Logistics</w:t>
      </w:r>
      <w:r>
        <w:rPr>
          <w:rFonts w:ascii="Times New Roman" w:cs="Times New Roman" w:eastAsia="Times New Roman" w:hAnsi="Times New Roman"/>
          <w:sz w:val="18"/>
          <w:szCs w:val="18"/>
          <w:color w:val="auto"/>
        </w:rPr>
        <w:t>. Our Logistics segment offers a wide range of non-asset-based services including transportation management, freight brokerage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shipment optimization, load consolidation, mode selection, carrier management, load planning and execution, cross-docking, consolidation &amp; fulfillment services and final mile delivery. Logistics includes our brokerage business which consists of a full range of trucking transportation services, including dry van, expedited, less-than-truckload (“LTL”), refrigerated and flatbed, all of which is provided by third-party carriers with whom we contract. We leverage proprietary technology along with collaborative relationships with third-party service providers to deliver cost savings and performance-enhancing supply chain services to our clients. Our transportation management offering also serves as a source of volume for our ITS segment. Many of the customers for these solutions are consumer goods companies who sell into the retail channel. Our final mile delivery offering provides residential final mile delivery and installation of appliances and big and bulky goods. Final mile operates through a network of independent service providers in company, customer and third-party facilities throughout the continental United States. Our business operates or has access to approximately 7 million square feet of warehousing and cross-dock space across North America, to which our customers ship their goods to be stored and distributed to destinations including residences, retail stores and other commercial locations. These services offer our customers shipment visibility, transportation cost savings, high service and compliance with retailers’ increasingly stringent supply chain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Transportation and Warehouse Vendors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utilize an asset-light strategy that employs a combination of our company-operated equipment as well as assets operated by third parties to transport and store our customers’ goods, which allows us to optimize our investment in equipment and facilities and reduce the level of capital we employ in our business. We are one of the largest purchasers of rail transportation services in North America and generally have multi-year contractual agreements with our railroad providers that specify the costs we pay for transportation and related services, as well as service levels and other provisions. Due to the importance of our relationship, some of our railroad providers have dedicated support personnel to focus on our day-to-day service requirements. On a regular basis, our senior executives and our railroad providers meet to discuss major strategic issues concerning intermodal transportation.</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Approximately 73% of our drayage services are provided by our fleet. We contract with approximately 500 owner-operators who supply their own equipment and operate under our regulatory authority. We also procure drayage services from third parties, and we believe we are one of the largest purchasers of drayage transportation in the United States.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brokerage and logistics business lines are significant purchasers of truckload and less-than-truckload transportation from third parties. We contract with a large number of trucking companies that we use to provide these transportation services. Our relationships with these trucking companies are important since these relationships determine pricing, load coverage and service that we provide to our customers.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relationships with several national and local operators of warehouses and cross-dock facilities who provide a range of services to us including storage, product handling and related activities. We also operate our own warehouse locations which are leased from third-party landlords. Our final mile operation contracts with nearly 540 vendors across the United States who provide warehousing and delivery services.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require all of our trucking vendors to carry auto liability and cargo insurance. Railroads, which typically carry higher self-insured retentions, provide limited cargo protection. To cover freight loss or damage we carry our own cargo insurance. We also carry general and auto liability insurance with an umbrella policy to cover potential exposure from our company-owned drayage and dedicated operations.</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and several of our subsidiaries are licensed by the United States Department of Transportation (“DOT”) as brokers in arranging for the transportation of general commodities by motor vehicle. To the extent that we perform truck brokerage services, we do so under these licenses. The DOT prescribes qualifications for acting in this capacity. Our trucking subsidiaries operate under DOT motor carrier authority. We are licensed by the United States Federal Maritime Commissions (“FMC”) as an Ocean Transportation Intermediary authorized to provide ocean freight forwarding and non-vessel operating common carrier services, which are regulated by the FMC. Our business is also subject to requirements published by the United States Food and Drug Administration under the Food Safety Modernization Act regarding the use of sanitary transportation practices to ensure the safety of food transported by motor vehicle and rail. To date, compliance with these regulations and licensing requirements has not had a material adverse effect on our capital expenditures, earnings or competitive position. EASO is also subject to transportation regulations in Mexico.</w:t>
      </w:r>
    </w:p>
    <w:p>
      <w:pPr>
        <w:spacing w:after="0" w:line="84"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There are federal, state, local and international laws and regulations concerning environmental matters and employee health and safety that apply to our operations. We are also subject to various federal, state, local and international laws and government regulations related to employment in the jurisdictions where we conduct business. Complying with these and other laws and regulations has not had a materially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Custom-Trade Partnership Against Terrorism</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One of our subsidiaries achieved Custom-Trade Partnership Against Terrorism (“C-TPAT”) certification in 2013 and has maintained it since then. C-TPAT is a voluntary supply chain security program led by United States Customs and Border Protection focused on improving the security of private companies’ supply chains. Companies who achieve C-TPAT certification must have a documented process for determining and alleviating risks throughout their international supply chain. This certification allows us to be considered low risk, resulting in expedited processing of our customers’ cargo, including fewer customs examinations.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conduct business with and provide services to customers through a combination of office employees, driver employees and warehouse employees. We also contract with independent contractors and with staffing firms who provide personnel who provide their services in our warehouse operations. As of December 31, 2024, we had approximately 6,500 employees, which included approximately 3,200 drivers and 900 warehouse employees. In addition, as of December 31, 2024, we contracted with approximately 500 independent contractor drivers and had approximately 750 contractors working in our warehouse locations. We are not a party to any collective bargaining agreements and consider our relationship with our employees to be satisfactory.</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attract and retain skilled staff members, drivers and warehouse employees. Our executive management team receives regular updates regarding headcount changes, turnover rates, hiring rates, manager training and employee satisfaction. We invest in the development of our employees through our Hub University learning management system, which provides access to a variety of e-learning courses and modules to further develop job skills, increase knowledge of our business, and promote adherence to safety and compliance procedures. We seek to offer a competitive compensation package, which may include incentive compensation elements, as well as an attractive package of employee benefits. We are committed to employee engagement and an inclusive culture that values and respects every employee.</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strive to create a culture of accountability, safety and teamwork. We set annual performance goals for our operations teams relative to accidents and injuries and track performance monthly to ensure accountability. Further, we provide company-wide recognition on a monthly basis for employees who are nominated for performance that demonstrates our guiding principles of winning together, innovating with purpose and acting with integrity.</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There exists no arrangement or understanding between any executive officer and any other person pursuant to which such executive officer was selected.</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sets forth certain information as of February 1, 2025 with respect to each person who is an executive officer of our Company.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830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1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P. Yeager</w:t>
            </w:r>
          </w:p>
        </w:tc>
        <w:tc>
          <w:tcPr>
            <w:tcW w:w="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16"/>
                <w:szCs w:val="16"/>
                <w:color w:val="auto"/>
              </w:rPr>
            </w:pPr>
          </w:p>
        </w:tc>
        <w:tc>
          <w:tcPr>
            <w:tcW w:w="8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Phillip D. Yeager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Chairman of the Board of Directors, President and Chief Executive Officer</w:t>
            </w: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H. Meents</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W. Beth</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Dhruv Bansal</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Information Officer</w:t>
            </w: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P. LaFrance</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and Human Resource Officer and Corporate Secretary</w:t>
            </w: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M. Rhodes</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20"/>
                <w:szCs w:val="20"/>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bl>
    <w:p>
      <w:pPr>
        <w:spacing w:after="0" w:line="19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David P. Yeager has served as the Executive Chairman of our Board of Directors since January 2023. Mr. Yeager previously served as Chairman of the Board between November 2008 and December 2022 and as Chief Executive Officer between March 1995 and December 2022. From March 1995 through November 2008, Mr. Yeager served as Vice Chairman of the Board. From October 1985 through December 1991, Mr. Yeager was President of Hub City Terminals (Hub Chicago). From 1983 to October 1985, he served as Vice President, Marketing of Hub Chicago. Mr. Yeager founded our St. Louis office in 1980 and served as its President from 1980 to 1983. Mr. Yeager founded our Pittsburgh office in 1975 and served as its President from 1975 to 1977. Mr. Yeager received a Masters of Business Administration degree from the University of Chicago Booth School of Business and a Bachelor of Arts degree from the University of Dayton. Mr. Yeager is the father of Phillip D. Yeager.</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Phillip D. Yeager became our President and Chief Executive Officer on January 1, 2023 and was appointed Vice Chairman of the Board of Directors in February 2024. Previously Mr. Yeager served as President and Chief Operating Officer since July 2019, and as Chief Commercial Officer overseeing Intermodal and Truck Brokerage operations as well as sales, pricing, solutions and account management since January 2018. Mr. Yeager formerly held the role of Executive Vice President, Account Management and Intermodal Operations since January 2016 after serving as Vice President of Account Management and Business Development from February 2014 to January 2016. Mr. Yeager joined Hub Group in 2011 as the Director of Strategy and Acquisitions. Prior to joining Hub, Mr. Yeager served as Assistant Vice President of Commercial Banking at BMO Harris Bank, and as an investment banking analyst for Lazard Freres &amp; Co. Mr. Yeager earned his Bachelor of Arts degree from Trinity College and a Master of Business Administration degree from the University of Chicago Booth School of Business. Mr. Yeager is the son of David P. Yeager.</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Brian Meents became our Executive Vice President and Chief Operating Officer in November 2024, after previously holding the role of Executive Vice President, Chief Marketing Officer and President of Intermodal and Transportation Solutions since February 2024 and Executive Vice President, Chief Marketing Officer since 2023. Mr. Meents is responsible for our intermodal, managed transportation, and consolidation and fulfillment service lines, as well as pricing, analytics, continuous improvement, customer success and account management. Mr. Meents joined Hub Group in 2009 and held roles with increasing responsibility in business development, as Vice President of Account Management, where he focused on the development of client relationships, account strategy and innovation, and as Executive Vice President of Account Management, Sales, and Marketing. In addition to his responsibilities at Hub Group, Mr. Meents serves on the board of the University of Denver’s Transportation and Supply Chain Institute. Mr. Meents received his bachelor’s degree from North Central College and an Executive Master’s degree in Transportation from the University of Denver.</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Kevin W. Beth was named Executive Vice President, Chief Financial Officer and Treasurer on January 1, 2024 with responsibility over the organization’s financial activities, acquisitions, investor relations and banking relationships. Prior to this role, Mr. Beth served as Executive Vice President and Chief Accounting Officer since July 2020 where he transformed Hub’s financial systems and was instrumental in leading the accounting organization through the integration of acquisitions, divestitures and the implementation of new accounting standards. Mr. Beth joined Hub Group in October 2003 as Corporate Controller and served as Controller and Assistant Treasurer beginning in March 2007. Mr. Beth is a Certified Public Accountant and held various auditing and corporate accounting positions prior to joining Hub Group. Mr. Beth received a Bachelor of Science degree in Accounting from the University of Illinois at Urbana-Champaign.</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 w:name="page8"/>
    <w:bookmarkEnd w:id="7"/>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Dhruv Bansal was named Executive Vice President and Chief Information Officer in March 2022. </w:t>
      </w:r>
      <w:r>
        <w:rPr>
          <w:rFonts w:ascii="Times New Roman" w:cs="Times New Roman" w:eastAsia="Times New Roman" w:hAnsi="Times New Roman"/>
          <w:sz w:val="18"/>
          <w:szCs w:val="18"/>
          <w:color w:val="231F20"/>
        </w:rPr>
        <w:t>Previously, Mr. Bansal served as Senior 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President of Application Development and was responsible for the development, configuration, and delivery of Hub’s software as well as the product development strategy, architecture, and technical solutions. Mr. </w:t>
      </w:r>
      <w:r>
        <w:rPr>
          <w:rFonts w:ascii="Times New Roman" w:cs="Times New Roman" w:eastAsia="Times New Roman" w:hAnsi="Times New Roman"/>
          <w:sz w:val="18"/>
          <w:szCs w:val="18"/>
          <w:color w:val="000000"/>
        </w:rPr>
        <w:t>Bansal</w:t>
      </w:r>
      <w:r>
        <w:rPr>
          <w:rFonts w:ascii="Times New Roman" w:cs="Times New Roman" w:eastAsia="Times New Roman" w:hAnsi="Times New Roman"/>
          <w:sz w:val="18"/>
          <w:szCs w:val="18"/>
          <w:color w:val="231F20"/>
        </w:rPr>
        <w:t xml:space="preserve"> has spent over 20 years in engineering and product development roles. Before joining Hub Group in 2020, Mr. Bansal served as Vice President Transport IT Solutions for XPO Logistics, Inc. where he led IT for multiple North American transportation business units and was Vice President, Product Development at E2Open, a developer of a SaaS-based supply-chain management platform. Mr. Bansal earned a Master of Business Administration degree from the Indian Institute of Management in Ahmedabad, India and a Bachelor’s degree in Engineering from V.J.T.I. in Bombay, India.</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Thomas P. LaFrance became our Executive Vice President, Chief Legal and Human Resources Officer and Corporate Secretary in February 2024 after joining Hub Group as Executive Vice President, General Counsel and Corporate Secretary in August 2021. In this role, Mr. LaFrance leads our legal, claims and compliance, and human resource efforts. Mr. LaFrance has over 30 years of global legal experience in multiple sectors, including having served as general counsel of General Electric Company's transportation and security technology divisions, as well as senior legal roles at Wabtec Corporation, National Grid plc and United Technologies Corporation. Earlier in his career, Mr. LaFrance was a partner at the law firm Goodwin Proctor. Mr. LaFrance graduated with a Bachelor of Arts degree in Economics from Boston College and received his J.D. from Georgetown University Law Center.</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Brent Rhodes joined Hub Group as Executive Vice President and Chief Accounting Officer in 2024. Prior to joining Hub Group, Mr. Rhodes served as Chief Accounting Officer of ATI Physical Therapy, including through the period when ATI became a publicly traded company. Prior to ATI, Mr. Rhodes held various positions in the Audit and Transaction Services groups of Deloitte &amp; Touche LLP since 2012. Mr. Rhodes is a Certified Public Accountant and received his Master’s and Bachelor’s degrees in Accountancy from the University of Illinois at Urbana-Champaign.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reports filed pursuant to Sections 13(a) and 15(d) of the Securities Exchange Act of 1934, as amended (“Exchange Act”), are filed with the Securities and Exchange Commission (“SEC”). We are subject to the informational requirements of the Exchange Act and file or furnish reports, proxy statements and other information with the SEC. The reports and other information that we file with the SEC are available free of charge on our website at </w:t>
      </w:r>
      <w:r>
        <w:rPr>
          <w:rFonts w:ascii="Times New Roman" w:cs="Times New Roman" w:eastAsia="Times New Roman" w:hAnsi="Times New Roman"/>
          <w:sz w:val="18"/>
          <w:szCs w:val="18"/>
          <w:i w:val="1"/>
          <w:iCs w:val="1"/>
          <w:color w:val="auto"/>
        </w:rPr>
        <w:t>www.hubgroup.com</w:t>
      </w:r>
      <w:r>
        <w:rPr>
          <w:rFonts w:ascii="Times New Roman" w:cs="Times New Roman" w:eastAsia="Times New Roman" w:hAnsi="Times New Roman"/>
          <w:sz w:val="18"/>
          <w:szCs w:val="18"/>
          <w:color w:val="auto"/>
        </w:rPr>
        <w:t xml:space="preserve"> as soon as reasonably practicable after we electronically file or furnish such reports to the SEC. In addition,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our annual, quarterly, and current reports, proxy and information statements, and other information we electronically file with, or furnish to, the SEC. Information on the websites referenced in this Form 10-K is not incorporated by reference into this filing. Further, our references to website URLs are intended to be inactive textual references only.</w:t>
      </w:r>
    </w:p>
    <w:p>
      <w:pPr>
        <w:spacing w:after="0" w:line="1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Environment and Competition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Intermodal and Transportation Solutions and from our significant customers.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derived 57% of our revenue from our Intermodal and Transportation Solutions in 2024, 59% in 2023 and 62% in 2022. As a result, any decrease in demand for intermodal transportation services could have a material adverse effect on our results of operations.</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10 largest customers accounted for approximately 44% of our total revenue in 2024, 42% in 2023 and 43% in 2022. In each of the years ended December 31, 2024, 2023 and 2022, one customer accounted for more than 10% of our annual revenue in both segments. While our dedicated and logistics businesses may involve long-term customer contracts, those contracts may contain cancellation clauses, and there is no assurance that our current customers will continue to utilize our services or continue at the same levels. A reduction in or termination of our services by one or more of our largest customers could have a material adverse effect on our revenue and business. While we continue to focus our efforts on diversifying our customer base, we may not be successful in doing so.</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Because we depend on railroads for our operations, our operating results and financial condition are likely to be adversely affected by any increase in rates, reduction or deterioration in rail service or change in the railroads’ reliance on us to market their intermodal transportation services.</w:t>
      </w:r>
    </w:p>
    <w:p>
      <w:pPr>
        <w:spacing w:after="0" w:line="6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depend on major railroads in North America for the intermodal services we provide. In many regions, rail service is provided by one or a limited number of railroads. We primarily rely on contractual relationships with two railroads to support our intermodal business. Consequently, a reduction in, or elimination of, rail service to a particular market is likely to materially adversely affect our ability to provide intermodal transportation services to some of our customers. Rate increases to our customers may reduce the attractiveness of intermodal transportation compared to truck or other transportation modes, which could cause a decrease in demand for our services. Further, our ability to continue to expand our intermodal transportation business is dependent upon the railroads’ ability to increase capacity for intermodal freight and provide consistent and reliable service. Our business has, at times, been adversely affected by situations impacting one or more railroads, including labor shortages, slowdowns or stoppages, adverse weather conditions, changes to rail operations, or other factors that hinder the railroads’ ability to provide reliable transportation services and these situations may occur again in the future. To date, our primary railroad providers have chosen to rely on us and other intermodal providers to market their intermodal services rather than fully developing their own marketing capabilities. If one or more of the major railroads reduced their dependence on us or decreased the capacity that they made available to us, including by servicing additional intermodal marketing companies, the volume of intermodal shipments we arrange would likely decline, which could have a material adverse effect on our results of operations and financial condition</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expand our business or maintain our profitability is adversely affected by a shortage of drivers and capacity.</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derive significant revenue from our transportation services and depend on qualified drivers to provide these services. There is significant competition for qualified drivers in the transportation industry. Additionally, interventions and enforcement under the Federal Motor Carrier Safety Administration (“FMCSA”) Compliance, Safety, Accountability program or other programs may shrink the industry’s pool of drivers as those drivers with unfavorable scores may no longer be eligible to drive for us. Driver shortages and reliance on third-party companies for the operation of our services has, and in the future could, adversely affect our profitability and limit our ability to expand our business or retain customers. Most drayage, truckload, final mile, and certain less-than-truckload companies operate relatively small fleets and have limited access to capital for fleet expansion. Particularly during recent and future periods of economic expansion, it is difficult for our trucking operations and third-party trucking companies, to expand their fleets due to chronic driver shortages. Driver shortages have resulted in increases to drivers’ compensation that we may be unable to fully pass on to our customers and have left trucks sitting idle and created difficulty meeting customer demands, all of which could adversely affect our growth and profitability.</w:t>
      </w:r>
    </w:p>
    <w:p>
      <w:pPr>
        <w:spacing w:after="0" w:line="184" w:lineRule="exact"/>
        <w:rPr>
          <w:sz w:val="20"/>
          <w:szCs w:val="20"/>
          <w:color w:val="auto"/>
        </w:rPr>
      </w:pPr>
    </w:p>
    <w:p>
      <w:pPr>
        <w:jc w:val="both"/>
        <w:ind w:firstLine="65"/>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industry and our business may suffer if we are unable to adequately address potential downward pricing pressures and other competitive factors.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transportation and logistics industry is highly competitive and cyclical. We face competition in all geographic markets and each industry sector in which we operate. Increased competition or our inability to compete successfully may lead to a reduction in our volume, reduced revenues, reduced profit margins, increased pricing pressure, or a loss of customer relationships, any one of which could affect our business and financial results. Numerous competitive factors could impair our ability to maintain our current profitability, including the following:</w:t>
      </w:r>
    </w:p>
    <w:p>
      <w:pPr>
        <w:spacing w:after="0" w:line="72" w:lineRule="exact"/>
        <w:rPr>
          <w:sz w:val="20"/>
          <w:szCs w:val="20"/>
          <w:color w:val="auto"/>
        </w:rPr>
      </w:pPr>
    </w:p>
    <w:p>
      <w:pPr>
        <w:ind w:left="520" w:right="280" w:hanging="257"/>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periodically reduce their prices to gain business, especially during times of weak economic conditions, which may limit our ability to maintain or increase prices or impede our ability to maintain or grow our customer relationships;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expected customer retention levels or sales growth targets;</w:t>
      </w:r>
    </w:p>
    <w:p>
      <w:pPr>
        <w:spacing w:after="0" w:line="117" w:lineRule="exact"/>
        <w:rPr>
          <w:rFonts w:ascii="Times New Roman" w:cs="Times New Roman" w:eastAsia="Times New Roman" w:hAnsi="Times New Roman"/>
          <w:sz w:val="18"/>
          <w:szCs w:val="18"/>
          <w:color w:val="auto"/>
        </w:rPr>
      </w:pPr>
    </w:p>
    <w:p>
      <w:pPr>
        <w:ind w:left="520" w:right="300" w:hanging="257"/>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with many other transportation and logistics service providers, some of which have greater capital resources or lower cost structures than us;</w:t>
      </w:r>
    </w:p>
    <w:p>
      <w:pPr>
        <w:spacing w:after="0" w:line="53" w:lineRule="exact"/>
        <w:rPr>
          <w:rFonts w:ascii="Times New Roman" w:cs="Times New Roman" w:eastAsia="Times New Roman" w:hAnsi="Times New Roman"/>
          <w:sz w:val="18"/>
          <w:szCs w:val="18"/>
          <w:color w:val="auto"/>
        </w:rPr>
      </w:pPr>
    </w:p>
    <w:p>
      <w:pPr>
        <w:ind w:left="520" w:right="360" w:hanging="257"/>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with new entrants in the transportation and logistics market that may offer similar services at lower cost or have greater technological capabilities, including capabilities offering lower greenhouse gas (“GHG”) emissions with competitive pricing;</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choose to provide for themselves the services that we now provide;</w:t>
      </w:r>
    </w:p>
    <w:p>
      <w:pPr>
        <w:spacing w:after="0" w:line="117" w:lineRule="exact"/>
        <w:rPr>
          <w:rFonts w:ascii="Times New Roman" w:cs="Times New Roman" w:eastAsia="Times New Roman" w:hAnsi="Times New Roman"/>
          <w:sz w:val="18"/>
          <w:szCs w:val="18"/>
          <w:color w:val="auto"/>
        </w:rPr>
      </w:pPr>
    </w:p>
    <w:p>
      <w:pPr>
        <w:ind w:left="520" w:right="60" w:hanging="257"/>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customers periodically accept proposals from multiple carriers for their shipping needs, and this process may depress rates or result in the loss of some of our business to competitors;</w:t>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trucking industry may result in larger competitors with greater financial resources than we have;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supply chain or other market factors may limit our ability to purchase equipment from our suppliers;</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technology require increased investments to remain competitive, and our customers may not be willing to accept higher prices to cover the cost of these investments; and</w:t>
      </w:r>
    </w:p>
    <w:p>
      <w:pPr>
        <w:spacing w:after="0" w:line="53"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cost of capital is a significant competitive factor, any increase in either the cost of our debt or equity as a result of increases in our level of credit risk or stock price volatility could have a significant impact on our competitive position.</w:t>
      </w:r>
    </w:p>
    <w:p>
      <w:pPr>
        <w:spacing w:after="0" w:line="15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Our customers’ and suppliers’ businesses may be negatively affected by various economic and other factors such as recessions, downturns in the economy, global uncertainty and instability, the effects of pandemics, the effects of climate change, changes in United States social, political, and regulatory conditions or a disruption of financial markets, which may decrease demand for our services or increase our costs.</w:t>
      </w:r>
    </w:p>
    <w:p>
      <w:pPr>
        <w:spacing w:after="0" w:line="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primary business is to transport, and arrange for the transport of, goods and, as a result, our business levels are directly tied to the purchase and production of goods and the rate of growth or decline in domestic and global trade, which are key macroeconomic measurements influenced by, among other things, inflation and deflation, supply chain disruptions, tariffs, interest rates and currency exchange rates, labor costs and unemployment levels, regulatory initiatives and other government activity, fuel and energy prices, public health crises, inventory levels, buying patterns and disposable income, debt levels, and credit and capital availability. When companies purchase and produce fewer goods, we transport and arrange for the transport of fewer goods. Any broad decline in the activity of our customers could result in a decline in our revenue and our ability to maintain our profitability unless we are able to continue growing our business and replace such declining customer demand with new customers and demand.</w:t>
      </w:r>
    </w:p>
    <w:p>
      <w:pPr>
        <w:spacing w:after="0" w:line="8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general, while we endeavor to prepare for changes in macroeconomic conditions, we have limited ability to foresee macroeconomic changes, including the drivers influencing such changes. Nonetheless, we believe certain trends will likely affect the economy, and by extension our business, in the near and long term. Among these are, uncertainty and instability in the global or domestic economy, geopolitical events, and any other action that governments may take to withdraw from or materially modify international trade arrangements or decrease economic production, consumption and inflation. Significant weather events or patterns, which may become more frequent or common as a result of climate-change, could also affect market conditions in ways that we cannot foresee and impact the volume or health of our customers’ business or our suppliers’ ability to provide us with goods or services. The United States government and foreign governments may take other actions that may impact the purchase and production of goods, including changes to certain trade agreements and imposing tariffs, quotas, or other regulations on certain goods shipped by our customers, that may increase costs for goods transported globally and reduce end-user demand for these products. Demand for, or production of, goods could also decline due to capital constraints, increased interest rates, and non-trade related regulatory actions such as regulations to address climate change.</w:t>
      </w:r>
    </w:p>
    <w:p>
      <w:pPr>
        <w:spacing w:after="0" w:line="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Customers encountering adverse economic or other conditions, including a high interest rate environment, may be unable to obtain additional financing or financing under acceptable terms. These customers represent a greater potential for bad debt losses, which may require us to increase our reserve for bad debt. Economic conditions resulting in bankruptcies of one or more of our large customers could have a significant impact on our financial position, results of operations or liquidity in a particular year or quarter. Further, when adverse economic times arise, customers may select competitors that offer lower rates in an attempt to lower their costs and we might be forced to lower our rates or lose freight volumes.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suppliers’ business levels also may be negatively affected by adverse economic and other conditions, which could lead to disruptions in the supply and availability of equipment, parts and services critical to our operations. A significant interruption in our normal supply chain could disrupt our operations, increase our costs and negatively impact our ability to serve our customers.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also subject to cost increases outside of our control that could materially reduce our profitability if we are unable to increase our rates sufficiently. Such cost increases include capital expenditures to update our tractor fleet to meet climate change-focused regulatory requirements or market demands for lower emission equipment, increases in wage rates, fuel prices, interest rates, taxes, tolls, license and registration fees, insurance, equipment and healthcare for our employees.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also rely on the timely and free flow of goods through open and operational international shipping lanes and ports. Disruptions of these shipping lanes, such as ongoing geopolitical issues impacting the Panama Canal and the Suez Canal, could create significant risks for our business or provide opportunities with changes to shipping patterns.</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adversely affected by strikes or work stoppages by truck drivers, warehouse employees, port employees and railroad employees, or the decision of our employees to unionize.</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There may be labor unrest, including strikes and work stoppages, among workers at various transportation providers and in industries affecting the transportation industry, such as warehousing and ports. We could lose business due to any significant work stoppage or slowdown and, if labor unrest results in increased rates for transportation providers, we may not be able to pass these cost increases on to our customers. Strikes, work slowdowns, or labor shortages among longshoremen and other workers at ports may result in reduced activity at the ports for a time, creating an impact on the transportation industry. Work stoppages occurring among owner-operators in a specific market have increased our operating costs periodically in the past. Strikes, work slowdowns, or labor shortages among railroad employees in either the United States, Canada or Mexico would impact our operations. Any significant work stoppage, slowdown or other disruption, including disruption due to restrictions imposed as a result of a pandemic, involving port employees, railroad employees, warehouse employees or truck drivers could adversely affect our business and results of operations.</w:t>
      </w:r>
    </w:p>
    <w:p>
      <w:pPr>
        <w:spacing w:after="0" w:line="8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Currently, none of our employees are represented by a collective bargaining agreement in the United States. If in the future our employees decide to unionize, this would increase our operating costs and force us to alter the way we operate causing an adverse effect on our operating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Relatively small increases in our transportation and warehouse costs, including fuel, that we are unable to pass through to our customers are likely to have a significant adverse effect on our operating income.</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Purchased transportation and warehousing costs represented 74% of our consolidated revenue in 2024, 75% in 2023 and 76% in 2022. Because transportation and warehouse costs represent such a significant portion of our costs, any increases in the operating costs of railroads, warehouse vendors, and other transportation providers can be expected to result in higher rates that we pay to such providers. Transportation costs may increase if we are unable to contract with owner-operators or recruit Company employee drivers as this may increase the costs we pay for drivers or force us to use more expensive purchased transportation. Any inability to pass cost increases to our customers is likely to have a significant adverse effect on our gross margin and operating income and cash flows.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business depends on the availability of fuel. Fuel availability and cost are affected by natural or man-made disasters, adverse weather conditions, political events, disruption or failure of technology or information systems, price and supply decisions by oil producing countries and cartels, government actions including climate change regulations, terrorist activities, armed conflict and world supply and demand imbalance. We do not maintain fuel storage and pumping stations at all of our facilities. Therefore, a disruption in the global fuel supply resulting from factors outside of our control, that increases the demand for fuel traditionally used by trucks, could have a material adverse effect on our business, results of operations, financial condition and cash flows.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Fuel costs can be very volatile and fuel price fluctuations occur due to factors outside our control. Significant increase in fuel prices or fuel taxes that we are unable to offset by any fuel surcharges or freight rate increases could have an adverse impact on our business operations. We have a fuel surcharge program in place with many of our customers that typically allows us to recover the costs associated with volatile fuel prices. Our inability to time the fuel surcharges billed to customers with the change in fuel costs could affect our operations. Rapid increases in fuel costs could also have a material adverse effect on our operations or future profitability.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Extreme or unusual weather conditions can disrupt our operations, impact freight volumes, and increase our costs, all of which could have a material adverse effect on our business results.</w:t>
      </w:r>
    </w:p>
    <w:p>
      <w:pPr>
        <w:spacing w:after="0" w:line="51" w:lineRule="exact"/>
        <w:rPr>
          <w:sz w:val="20"/>
          <w:szCs w:val="20"/>
          <w:color w:val="auto"/>
        </w:rPr>
      </w:pPr>
    </w:p>
    <w:p>
      <w:pPr>
        <w:jc w:val="both"/>
        <w:ind w:firstLine="429"/>
        <w:spacing w:after="0" w:line="253" w:lineRule="auto"/>
        <w:rPr>
          <w:sz w:val="20"/>
          <w:szCs w:val="20"/>
          <w:color w:val="auto"/>
        </w:rPr>
      </w:pPr>
      <w:r>
        <w:rPr>
          <w:rFonts w:ascii="Times New Roman" w:cs="Times New Roman" w:eastAsia="Times New Roman" w:hAnsi="Times New Roman"/>
          <w:sz w:val="18"/>
          <w:szCs w:val="18"/>
          <w:color w:val="auto"/>
        </w:rPr>
        <w:t>Our operations are affected by external factors such as severe weather and other natural occurrences, which may increase in frequency and severity due to climate change, that adversely impacts operating locations where we have vehicles, warehouses and other facilities. These events may disrupt fuel supplies, increase fuel costs, affect the performance of our vehicles, disrupt freight shipments or routes, restrict the availability of our workforce, affect regional economies, destroy our assets, interrupt our business, adversely affect the business or financial condition of our customers, or limit or interrupt the availability of goods or services from our suppliers. While we have been able to avoid or mitigate the impact of these events by, for example, re-routing our equipment or passing on increased costs associated with these events, we may not be able to do so in the future. Insurance to protect against loss of business and other related consequences resulting from these natural occurrences is subject to coverage limitations, depending on the nature of the risk insured. Such insurance may not be sufficient to cover all of our damages or damages to others and this insurance may not continue to be available at commercially reasonable rates. Even with insurance, if any natural occurrence leads to a catastrophic interruption of service, we may not be able to mitigate a significant interruption in operations.</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insurance program may not be sufficient to cover all anticipated risks and liabilities associated with our operations.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certain employee medical coverage losses, excluding employees covered by health maintenance organizations. We generally have an individual stop loss deductible per enrollee unless specific exposures are separately insured. We accrue a contingent liability based upon examination of historical trends, historical actuarial analysis, our claims experience, total plan enrollment (including employee contributions), population demographics, and other various estimates. Self-insurance reserves, net income, and cash flows could be materially affected if future claims differ significantly from our historical trends and assumptions.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partially self-insured for vehicle liability and workers’ compensation claims. Our self-insurance accruals are based on actuarially estimated, undiscounted cost of claims, which includes claims incurred but not reported. While we believe that our estimation processes are well designed and comply with generally accepted accounting principles and other accounting and finance best practices, any projection of losses concerning workers’ compensation and vehicle liability is subject to a considerable degree of variability. The causes of this variability include litigation trends, changes in medical costs, claim settlement patterns and fluctuations in the frequency or severity of accidents. If actual losses incurred are greater than those anticipated, our self-insurance reserves may be insufficient and additional costs could be recorded in our consolidated financial statements. If we suffer a substantial loss in excess of our self-insured limits, the loss and attendant expenses may be covered by traditional insurance and excess insurance we have in place, but if not covered or above such coverages, losses could harm our business, financial condition or results of operations.</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also are exposed to various other types of claims, including cargo loss and damage, property damage, and personal injury. We maintain insurance coverage with third-party insurance carriers for these types of claims as well as for other business and operational risks (including cybersecurity, data privacy, crime, and directors and officers), but we assume a significant portion of the risk associated with these claims due to high self-insured retention (“SIR”) and deductibles. Our operating results could be adversely affected if any of the following were to occur: (i) the number or the severity of claims increases, including from increased cargo theft; (ii) we are required to accrue or pay additional amounts because claims prove to be more severe than our original assessment; or (iii) claims exceed our coverage amounts. If the number or severity of claims increases, our operating results could also be adversely affected if the cost to renew our insurance was increased when our current coverage expires. If these expenses increase, and we are unable to offset the increase with higher rates to our customers, our earnings could be materially and adversely affected. In addition, insurance companies generally require us to collateralize our SIR or deductible levels. At December 31, 2024, we had insurance-related surety bonds totaling $46.9 million and letters of credit totaling $0.4 million. If these collateralization requirements increase, our borrowing capacity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Cybersecurity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and enhance our information technology systems, or if we fail to successfully implement new technology or enhancements, we may be at a competitive disadvantage and lose customers.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Technology is critical to our operations and our ability to compete effectively as a transportation and logistics provider. We expect our customers to continue to demand more sophisticated technology-driven solutions from their suppliers and we must enhance or replace our information technology systems in response. This may involve significant research and development costs, implementation costs and potential operational challenges. To keep pace with changing technologies and customer demand, we continue to make investments in our technology, as well as invest in emerging technology to further drive innovation and efficiency. Recent investments include implementing new order management, transportation management, warehouse automation, contract management and financial management processes and systems. Technology and new market entrants may also disrupt the way we and our competitors operate. As technology improves and new companies enter the freight brokerage sector, our customers may be able to find alternatives to our services for matching shipments with available freight hauling capacity. We must continue to develop innovative emerging technologies to source, track and provide visibility to capacity to further improve customer outcomes.</w:t>
      </w:r>
    </w:p>
    <w:p>
      <w:pPr>
        <w:spacing w:after="0" w:line="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fail to successfully implement critical technology, if our technology does not provide the anticipated benefits or it does not meet market demands, we may be placed at a competitive disadvantage and could lose customers, materially adversely impacting our financial condition and results of operations.</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also depend upon the internet, third-party service providers, global communications providers, satellite-based communications systems, the electric utilities grid, electric utility providers and telecommunications providers as well as their respective vendors. The services and service providers have all experienced significant system failures and outages at some point in the past. We have minimal control over the operation, quality, or maintenance of these services or whether vendors will improve their services or continue to provide services that are essential to our business. Disruptions due to transitional challenges in upgrading or enhancing our technology systems; failures in the services upon which our information technology platforms rely, including those that may arise from adverse weather conditions or natural calamities, such as floods, hurricanes, earthquakes or tornadoes; illegal acts, including terrorist attacks; human error or systems modernization initiatives; or other disruptions, may adversely affect our business, which could increase our costs or result in a loss of customers that could have a material adverse effect on our results of operations and financial position.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information technology systems are subject to cyber and other risks, some of which are beyond our control. A security breach, failure or disruption of these services could have a material adverse effect on our business, results of operations and financial position.</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rely heavily on the proper functioning and availability of our information systems for our operations as well as for providing value-added services to our customers. Our information systems, including our accounting, communications and data processing systems, are integral to the efficient operation of our business. It is critical that the data processed by these systems remain secure, as it often includes competitive customer information, confidential transaction data, employee records and key financial and operational results and statistics. The sophistication of efforts by hackers, foreign governments, cyber-terrorists, and cyber-criminals, acting individually or in coordinated groups, to launch distributed denial of service attacks, ransomware or other coordinated attacks that may cause service outages, gain inappropriate or block legitimate access to systems or information, or result in other business interruptions has continued to increase in recent years. We utilize third-party service providers who have access to our systems and certain sensitive data, which exposes us to additional security risks, particularly given the complex and evolving laws and regulations regarding privacy and data protection. While we and our third-party service providers have experienced cyber-attacks and attempted breaches of our and their information technology systems and networks or similar events from time to time, no such incidents have been, individually or in the aggregate, material to us. Cyber incidents that impact the security, availability, reliability, speed, accuracy or other proper functioning of our systems, information and measures, including outages, computer viruses, theft or misuse by third parties or insiders, break-ins and similar disruptions, could have a significant adverse impact on our operations.</w:t>
      </w:r>
    </w:p>
    <w:p>
      <w:pPr>
        <w:spacing w:after="0" w:line="8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It is difficult to fully protect against the possibility of power loss, telecommunications failures, cyber-attacks, ransomware and other cyber incidents in every potential circumstance that may arise. In addition, the rapid evolution and increased adoption of artificial intelligence technologies may intensify our cybersecurity risks. A significant cyber incident, including system failure, security breach, disruption by malware or ransomware, or other damage, could interrupt or delay our operations, damage our reputation and brand, cause a loss of customers, expose us to a risk of loss or litigation, result in regulatory scrutiny, investigations, actions, fines or penalties or cause us to incur significant time and expense to remedy such an event, any of which could have a material adverse impact on our results of operations and financial position. Furthermore, any failure to comply with data privacy, biometric privacy, data security or other laws and regulations could result in claims, legal or regulatory proceedings, inquiries or investigations. To comply with this changing landscape, we may be required to further segregate our systems and operations, implement additional controls, or adopt new systems, all of which could increase the cost and complexity of our operations. In addition, our insurance intended to address costs associated with aspects of cyber incidents, network failures and privacy-related concerns, may not sufficiently cover all types of losses or claims that may arise.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third parties for equipment and services essential to operate our business, and if we fail to secure sufficient equipment and services, we could lose customers and revenue.</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depend on third parties for transportation equipment, such as tractors, containers, chassis, and trailers and certain services such as transportation, warehousing and cross docks necessary for the operation of our business. Our industry has experienced equipment, transportation and warehouse capacity shortages in the past, particularly during the peak shipping season leading up to the December holidays. A substantial amount of intermodal freight originates at or near major West Coast ports, which have historically had the most severe equipment shortages. If we cannot secure sufficient transportation equipment and warehouse services at a reasonable price from third parties to meet our customers’ needs, our customers may seek to have their transportation and warehousing needs met by other providers with their own assets. This could have a material adverse effect on our business, results of operations and financial position.</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residential final mile delivery service exposes us to risks associated with our and our vendors’ trucks and drivers delivering to residential customers.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we operate limited equipment and employ limited drivers that are used in the provision of final mile services, our and our vendors’ trucks and drivers operate in residential environments, including the in-home installation of appliances and other over-the-threshold services, that expose them and us to the risk of property damage, personal injury and other claims including from operating on residential streets and from entering into end-consumers’ homes. If we or any of these vendors do not reliably and safely perform their obligations, we and our vendors could be exposed to liability or reputational harm.</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ability to hire or retain management and other employees is critical to our continued success, and the loss of or inability to hire such personnel could have a material adverse effect on our business, financial condition and results of operations.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There is substantial competition for qualified personnel in the transportation and logistics services industry. The loss of any member of our management team, or other key persons, or the inability to hire key persons, could have an adverse effect on us. We do not have written employment agreements with any of our executive officers and do not maintain key person insurance on any of our executive officers, although we do have restrictive covenant agreements with all of them. Many individuals in the industry are subject to non-competition agreements, reducing the immediate availability of some qualified candidates for job openings. We cannot predict the impact of potential future rulemaking at the federal or state level on the recruiting and retention of management and other employees (or our ability to enforce post-termination restrictive covenants). If we lose key members of our senior management team or are unable to effect successful transitions from one executive to another as part of our </w:t>
      </w:r>
      <w:r>
        <w:rPr>
          <w:rFonts w:ascii="Times New Roman" w:cs="Times New Roman" w:eastAsia="Times New Roman" w:hAnsi="Times New Roman"/>
          <w:sz w:val="18"/>
          <w:szCs w:val="18"/>
          <w:color w:val="333333"/>
        </w:rPr>
        <w:t>succession plan, we may not be 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effectively manage our current operations or meet ongoing and future business challenges, and this could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growth could be adversely affected if we are not able to pursue our acquisition strategy, to successfully integrate acquired businesses or to achieve the anticipated benefit from acquired companies.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cannot guarantee that we will be able to execute acquisitions on commercially acceptable terms. Furthermore, the failure to successfully integrate an acquired business, including implementing financial controls and measures, successfully managing any minority shareholders or achieving cross-selling objectives, could significantly impact our financial results. Although we believe we have adequate liquidity and capital resources to fund our operations internally, our inability to access the capital markets on favorable terms, or at all, to obtain adequate financing could adversely affect our ability to pursue growth through acquisitions. Financial results most likely to be negatively affected include revenue, gross margin, salaries and benefits, general and administrative expenses, depreciation and amortization, interest expense, net income and our debt level.</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Furthermore, we may not be able to realize the anticipated benefits from acquired companies. Achieving those benefits depends on the timely, efficient and successful execution of a number of post-acquisition events. Factors that could affect our ability to achieve these benefits include the integration risks described above as well as the failure of acquired businesses to perform in accordance with our expectations; the failure to achieve anticipated synergies between our business units and the business units of acquired businesses; the loss of customers of acquired businesses; or the loss of key managers of acquired businesses.</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acquired businesses do not operate as we anticipate, it could materially impact our business, financial condition and results of operations. In addition, acquired businesses may operate in new markets in which we have little or no experience. In such instances, we will be highly dependent on existing managers and employees to manage those businesses, and the loss of any key managers or employees of the acquired business could have a material adverse effect on our financial condition, results of operations, cash flows and liquidity.</w:t>
      </w:r>
    </w:p>
    <w:p>
      <w:pPr>
        <w:spacing w:after="0" w:line="1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use a significant number of contingent workers, including independent contractors, such as owner operators, independent service providers, contract carriers and warehouse staff, in our businesses. Legislative, judicial and regulatory authorities may continue to take actions or render decisions that could affect the independent contractor classification, which could have a significant adverse impact on our operating income.</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do business with many independent contractors, such as owner operators, contract carriers and warehouse staff, consistent with longstanding industry practices. Legislative, judicial, and regulatory (including tax) authorities have taken actions and rendered decisions that could affect independent contractor classifications. Class action and individual lawsuits have been filed against us and others in our industry, challenging independent contractor classifications. If contingent workers, including independent contractors and temporary workers used for our trucking, warehousing, consolidation and fulfillment services or final mile delivery business, are determined to be employees, or the Company a joint employer, then we may incur legal liabilities associated with that determination, such as liability for unpaid wages, overtime, employee health insurance and taxes. If we were to change how we treat contingent workers or reclassify them as employees, then we would likely incur expenses associated with that reclassification, could incur additional ongoing expenses and face the loss of those contingent workers who choose not to become employees. The costs associated with these matters could have a material adverse effect on results of operations and our financial position.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regulated industry, and changes in existing regulations or costs of compliance with, or liability for violation of, existing or future regulations or antiterrorism measures could have a material adverse effect on our business.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and various subsidiaries are regulated by the DOT as motor carriers or freight brokers. The DOT prescribes qualifications for acting in these capacities, including surety bond requirements. The transportation industry is subject to DOT regulations regarding, among other things, driver breaks and “restart” rules that can affect the economics of the industry by requiring changes in operating practices or influencing the demand for, and cost of providing, transportation services. The Federal Motor Carrier Safety Administration (“FMCSA”), under the DOT, also manages a compliance and enforcement initiative partnering with state agencies designed to monitor and improve commercial vehicle motor safety. We are audited periodically by the DOT to ensure that we are in compliance with various safety, hours-of-service, and other rules and regulations. If we were found to be out of compliance, the DOT could levy fines and restrict or otherwise impact our operations. We may also become subject to new or more restrictive regulations relating to carbon emissions under climate change legislation or limits on vehicle weight and size. EASO is also subject to transportation regulations in Mexico. Future laws and regulations may be more stringent and require changes in operating practices, influence the demand for transportation services or increase the cost of providing transportation and logistics services, any of which could materially adversely affect our business and results of operations.</w:t>
      </w:r>
    </w:p>
    <w:p>
      <w:pPr>
        <w:spacing w:after="0" w:line="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subject to a wide variety of U.S. federal, state and local laws, non-U.S. laws, regulations and government policies, including in the areas of labor and employment (including immigration), privacy, cybersecurity, securities, anti-corruption, competition and trade, that may change in significant ways. We are not able to accurately predict how new governmental laws and regulations, or changes to existing laws and regulations, will affect the transportation and logistics industry generally, or us in particular. We are also unable to predict how political changes will affect government regulation of the transportation industry. If we incur higher costs as a result of any new regulations and are unable to pass along such costs to our customers, our business may be adversely affected.</w:t>
      </w:r>
    </w:p>
    <w:p>
      <w:pPr>
        <w:spacing w:after="0" w:line="79" w:lineRule="exact"/>
        <w:rPr>
          <w:sz w:val="20"/>
          <w:szCs w:val="20"/>
          <w:color w:val="auto"/>
        </w:rPr>
      </w:pPr>
    </w:p>
    <w:p>
      <w:pPr>
        <w:jc w:val="both"/>
        <w:ind w:firstLine="421"/>
        <w:spacing w:after="0" w:line="261" w:lineRule="auto"/>
        <w:rPr>
          <w:sz w:val="20"/>
          <w:szCs w:val="20"/>
          <w:color w:val="auto"/>
        </w:rPr>
      </w:pPr>
      <w:r>
        <w:rPr>
          <w:rFonts w:ascii="Times New Roman" w:cs="Times New Roman" w:eastAsia="Times New Roman" w:hAnsi="Times New Roman"/>
          <w:sz w:val="18"/>
          <w:szCs w:val="18"/>
          <w:color w:val="auto"/>
        </w:rPr>
        <w:t>Our failure to comply with any existing or future laws, rules or regulations to which we are, or may become, subject, whether actual or alleged, could have a material adverse effect on our business and on our ability to access the capital required to operate our business. Among other things, any such failure could expose us to reputational harm, loss of business, fines, penalties or potential litigation liabilities, including costs, settlements and judgments, as well as the loss of operating authority and restrictions on our operations.</w:t>
      </w:r>
    </w:p>
    <w:p>
      <w:pPr>
        <w:spacing w:after="0" w:line="7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Furthermore, terrorist attacks or other geopolitical events, along with any government response to such events, may adversely affect our financial condition, results of operations or liquidity. Our fleet, other key infrastructure and information technology systems may be targets or indirect casualties of acts of terror, other harmful acts, or war. Further, because transportation assets have been a target of terrorist activities, federal, state, local and foreign governmental bodies are proposing and, in some cases, have adopted legislation and regulations relating to security issues that impact the transportation industry, including checkpoints and travel restrictions on large trucks. If additional security measures disrupt or impede the timing of our operations, we may fail to meet the requirements of our customers or incur increased expenses to do so. In addition, complying with these or future regulations could continue to increase our operating costs and reduce operating efficiencies. We maintain insurance coverages addressing these risks; however, such insurance may be inadequate, become unavailable or be limited in scope of coverage, premiums charged for some or all of the insurance could increase dramatically, or regulations may change. These changes could exacerbate the effects of an act of terrorism or other event on our business, resulting in a significant business interruption, increased costs and liabilities and decreased revenues or an adverse impact on results of operation.</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are subject to various environmental laws and regulations, including legislative and regulatory responses to climate change. Compliance with environmental requirements could result in significant expenditures and the violation of these requirements could result in substantial fines or penalties.</w:t>
      </w:r>
    </w:p>
    <w:p>
      <w:pPr>
        <w:spacing w:after="0" w:line="1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state and local governmental laws and regulations that govern, among other things, the emission and discharge of hazardous materials into the environment, the presence of hazardous materials at our properties or in our vehicles, fuel storage tanks, the transportation of certain materials and the discharge or retention of storm water. Under certain environmental laws, we could also be held responsible for any costs relating to contamination at our past or present facilities and at third-party waste disposal sites, as well as costs associated with the clean-up of accidents involving our vehicles. Environmental laws have become and may continue to be increasingly more stringent over time, and there can be no assurance that our costs of complying with current or future environmental laws or liabilities arising under such laws will not have a material adverse effect on our business, operations or financial condition.</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From time to time, we arrange for the movement or warehousing of hazardous materials at the request of our customers. As a result, we may be subject to various environmental laws and regulations relating to the handling of hazardous materials. If we are involved in a spill or other accident involving hazardous materials, or if we are found to be in violation of applicable laws or regulations, we could be subject to substantial fines or penalties and to civil and criminal liability, any of which could have an adverse effect on our business and results of operations.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also subject to certain federal and state environmental laws and regulations, including those of the U.S. Environmental Protection Agency (“EPA”) and the California Air Resources Board (“CARB”). We may become subject to enforcement actions, new or more restrictive regulations, or differing interpretations of existing regulations, which may increase the cost of providing transportation services or adversely affect our results of operations. In addition to EPA and state agency regulations on exhaust emissions with which we must comply, there is an increased legislative and regulatory focus on climate change, greenhouse gas (“GHG”) emissions and the impact of climate change that enhances the possibility of increased regulation of GHG emissions and potentially exposes us to significant new capital or operating expenditures, taxes, fees and other costs. Additionally, the State of California previously passed legislation regarding the disclosure of Scope 1, 2 and 3 GHG emissions. Compliance with these regulations could add material costs to our business, including securities and other potential litigation costs arising from our reporting of our GHG emissions, and could increase customer focus on our GHG direct and indirect emissions, which may affect the market for transportation and logistics services in ways that we cannot foresee. Such regulations, together with increased investor and stakeholder interest in climate change and other environmental topics may result in new regulations or customer, supplier or market requirements that could adversely impact our business, or certain stockholders may reduce their holdings of our stock. Limitations on the emission of GHGs, other environmental legislation, or customer GHG requirements could also have an adverse impact on our financial condition, results of operations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risks of litigation and governmental inquiries, which could have a material adverse effect on our business.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nature of our business exposes us to a variety of litigation risks related to a number of issues, including accidents involving our trucks and employees, federal and state labor, employment and immigration laws, securities laws, environmental liability, privacy and other matters. Accordingly, we are, and in the future may be, subject to legal proceedings and claims that have arisen in the ordinary course of our business, including class and collective allegations. We are also subject to potential governmental proceedings, inquiries, and claims. The parties in such actions may seek amounts from us that may not be covered in whole or in part by insurance. The defense of such lawsuits could result in significant expense and the diversion of our management’s time and attention from the operation of our business. In recent years, several insurance companies have stopped offering coverage to trucking companies as a result of increases in the severity of automobile liability claims and higher costs of settlements and verdicts. This trend has and could continue to adversely affect our ability to obtain suitable insurance coverage and significantly increase our cost for obtaining such coverage, which would adversely affect our financial condition, results of operations, liquidity and cash flows. Costs we incur to defend or to satisfy a judgment or settlement of these claims may not be covered by insurance or could exceed the amount of that coverage or increase our insurance costs and could have a material adverse effect on our financial condition, results of operations, liquidity and cash flows.</w:t>
      </w:r>
    </w:p>
    <w:p>
      <w:pPr>
        <w:spacing w:after="0" w:line="3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Our business may be affected by uncertainty or changes in United States or global social, political or regulatory conditions.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arrange for the movement of freight, a portion of which originates from other countries, including China, into and out of the United States, Mexico and Canada, and we import 53-foot intermodal containers manufactured in China. Adverse developments in laws, policies or practices in the United States and internationally can negatively impact our business and the business of our customers. Recent legislative initiatives, including the Inflation Reduction Act of 2022 and the CHIPs and Science Act of 2022, have included provisions designed to reduce dependence on goods from China and restrict the transfer of certain intellectual property to China. Some importers are considering changes in their supply chain that may include shifting manufacturing capacity to North America or an increase in the importation of goods that are manufactured offshore through ports other than ports on the West Coast of the United States. These initiatives, and future potential initiatives, may result in changes to demand for our services including the potential for less demand for longer haul routes including intermodal services which could materially affect our business, financial conditions and results of operations. Negative domestic and international global trade conditions as a result of social, political or regulatory changes or perceptions (such as those that might be associated with tariffs or an increased focus on production in the United States), could reduce demand for our intermodal services and materially affect our business, financial conditions and results of operations. We provide services both domestically and to a lesser extent outside of the United States (including EASO in Mexico), which subjects our business to various additional risks, including:</w:t>
      </w:r>
    </w:p>
    <w:p>
      <w:pPr>
        <w:spacing w:after="0" w:line="190" w:lineRule="exact"/>
        <w:rPr>
          <w:sz w:val="20"/>
          <w:szCs w:val="20"/>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and changes in tariffs, trade restrictions, trade agreements and 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tax regimes, including consequences from changes in applicable tax laws and tax incentives;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or overseeing foreign operations;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laws applicable to international business, such as anti-corruption, trade, foreign currency and maritime laws;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liability standards;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fuel;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 and local laws in the jurisdictions in which we operate;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acquired companies with foreign operations;</w:t>
      </w:r>
    </w:p>
    <w:p>
      <w:pPr>
        <w:spacing w:after="0" w:line="117" w:lineRule="exact"/>
        <w:rPr>
          <w:rFonts w:ascii="Times New Roman" w:cs="Times New Roman" w:eastAsia="Times New Roman" w:hAnsi="Times New Roman"/>
          <w:sz w:val="18"/>
          <w:szCs w:val="18"/>
          <w:color w:val="auto"/>
        </w:rPr>
      </w:pPr>
    </w:p>
    <w:p>
      <w:pPr>
        <w:ind w:left="520" w:right="300" w:hanging="257"/>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changes to political and regulatory regimes as a result of changing social, political, regulatory and economic environments in the United States and internationally; and</w:t>
      </w:r>
    </w:p>
    <w:p>
      <w:pPr>
        <w:spacing w:after="0" w:line="53" w:lineRule="exact"/>
        <w:rPr>
          <w:rFonts w:ascii="Times New Roman" w:cs="Times New Roman" w:eastAsia="Times New Roman" w:hAnsi="Times New Roman"/>
          <w:sz w:val="18"/>
          <w:szCs w:val="18"/>
          <w:color w:val="auto"/>
        </w:rPr>
      </w:pPr>
    </w:p>
    <w:p>
      <w:pPr>
        <w:ind w:left="520" w:right="40" w:hanging="257"/>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such as national and international conflict, including terrorist acts and the effects of pandemics and government responses to pandemics.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do not correctly anticipate changes in social, political or regulatory conditions or their impact on the transportation and logistics industry, we may not alter our business practices in time to avoid adverse effects. Additionally, the occurrence or consequences of any of these factors may restrict our ability to operate in the affected region or decrease the profitability of our operations in that region.</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suppliers may also be affected by changes in the political and regulatory environment, both in the United States and internationally. Negative impacts on our suppliers could result in disruptions in the supply and availability of equipment or services needed for our business that could in turn affect our ability to operate and serve our customers as planned. Additionally, changes to current United States international trade agreements may lead to fewer goods transported and we may need to restructure certain terms of business with suppliers or customers.</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We are subject to certain risks arising from doing business in Mexico.</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growing operations in Mexico through our 51% ownership in EASO, which subjects us to general international business risks, including:</w:t>
      </w:r>
    </w:p>
    <w:p>
      <w:pPr>
        <w:spacing w:after="0" w:line="144" w:lineRule="exact"/>
        <w:rPr>
          <w:sz w:val="20"/>
          <w:szCs w:val="20"/>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Mexico's economic strength;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related to port of entry restrictions;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obligations and intellectual property rights;</w:t>
      </w:r>
    </w:p>
    <w:p>
      <w:pPr>
        <w:spacing w:after="0" w:line="117" w:lineRule="exact"/>
        <w:rPr>
          <w:rFonts w:ascii="Times New Roman" w:cs="Times New Roman" w:eastAsia="Times New Roman" w:hAnsi="Times New Roman"/>
          <w:sz w:val="18"/>
          <w:szCs w:val="18"/>
          <w:color w:val="auto"/>
        </w:rPr>
      </w:pPr>
    </w:p>
    <w:p>
      <w:pPr>
        <w:ind w:left="520" w:right="680" w:hanging="257"/>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international and US export, import, business procurement, transparency, and corruption laws, including the US Foreign Corrupt Practices Act;</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agreements and US-Mexico relations;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and changes in tariffs, trade restrictions and 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including theft or vandalism of our revenue equipment and our customers' cargo;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political, and economic instability.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implement or market new and existing services to existing and potential customers could have an adverse effect on our operations.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to continue expanding our service offerings. In the event we implement new service offerings, we may devote substantial resources to educating our employees and customers on such offerings with no assurance that a sufficient number of customers will use such additional services. If we add new services, we may not identify trends correctly or may not be able to bring new services as quickly, effectively or price-competitively as our competitors. Our failure to implement new services or market any existing or future services to our current customer base or new customers could have a material adverse impact on our operations and profitability.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defend our intellectual property could damage our reputation and incur costs that have a negative impact on our operations or financial condition.</w:t>
      </w:r>
    </w:p>
    <w:p>
      <w:pPr>
        <w:spacing w:after="0" w:line="51"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We have registered various trademarks and designs in the United States, Mexico and Canada. These marks play a major role in our business as they strengthen our brand recognition while helping accomplish our marketing strategy. Some of our intellectual property rights related to trademarks, trade secrets, domain names, copyrights, or other intellectual property could be challenged or invalidated or misappropriated or infringed upon, by third parties. Our continued efforts to obtain, enforce, protect and defend our intellectual property against a third-party infringement claim may be ineffective and could result in substantial costs which could adversely impact our corporate reputation, business, results of operations, and financial conditions.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Damage to our reputation through unfavorable publicity or the actions of our employees, certain suppliers or independent contractors could adversely affect our financial condition.</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consistently deliver operational excellence and strong customer service. Our inability to deliver our services and solutions as promised on a consistent basis, or our customers having a negative experience or otherwise becoming dissatisfied, can negatively impact our relationships with new or existing customers and adversely affect our brand and reputation, which could, in turn, adversely affect revenue and earnings growth. Adverse publicity (whether or not justified) relating to activities by our employees, contractors, suppliers or others with whom we do business, such as customer service mishaps or noncompliance with laws, could tarnish our reputation and reduce the value of our brand. With the increase in the use of social media outlets such as Facebook, YouTube, TikTok, Instagram, LinkedIn and X (formerly Twitter), adverse publicity can be disseminated quickly and broadly, making it increasingly difficult for us to effectively respond. This unfavorable publicity could also require us to allocate significant resources to rebuild our reputation.</w:t>
      </w:r>
    </w:p>
    <w:p>
      <w:pPr>
        <w:spacing w:after="0" w:line="3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The market value of our Class A Common Stock may fluctuate and could be substantially adversely affected by various factors.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expect that the market price of our Class A Common Stock will continue to fluctuate due to a variety of factors, many of which are beyond our control. These factors include, among others:</w:t>
      </w:r>
    </w:p>
    <w:p>
      <w:pPr>
        <w:spacing w:after="0" w:line="54" w:lineRule="exact"/>
        <w:rPr>
          <w:sz w:val="20"/>
          <w:szCs w:val="20"/>
          <w:color w:val="auto"/>
        </w:rPr>
      </w:pPr>
    </w:p>
    <w:p>
      <w:pPr>
        <w:ind w:left="1540" w:hanging="52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earnings, financial or operating performance or liquidity;</w:t>
      </w:r>
    </w:p>
    <w:p>
      <w:pPr>
        <w:spacing w:after="0" w:line="117" w:lineRule="exact"/>
        <w:rPr>
          <w:rFonts w:ascii="Times New Roman" w:cs="Times New Roman" w:eastAsia="Times New Roman" w:hAnsi="Times New Roman"/>
          <w:sz w:val="18"/>
          <w:szCs w:val="18"/>
          <w:color w:val="auto"/>
        </w:rPr>
      </w:pPr>
    </w:p>
    <w:p>
      <w:pPr>
        <w:ind w:left="1540" w:hanging="52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research analysts’ recommendations or projections;</w:t>
      </w:r>
    </w:p>
    <w:p>
      <w:pPr>
        <w:spacing w:after="0" w:line="117" w:lineRule="exact"/>
        <w:rPr>
          <w:rFonts w:ascii="Times New Roman" w:cs="Times New Roman" w:eastAsia="Times New Roman" w:hAnsi="Times New Roman"/>
          <w:sz w:val="18"/>
          <w:szCs w:val="18"/>
          <w:color w:val="auto"/>
        </w:rPr>
      </w:pPr>
    </w:p>
    <w:p>
      <w:pPr>
        <w:ind w:left="1540" w:hanging="52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and our Company's projections;</w:t>
      </w:r>
    </w:p>
    <w:p>
      <w:pPr>
        <w:spacing w:after="0" w:line="117" w:lineRule="exact"/>
        <w:rPr>
          <w:rFonts w:ascii="Times New Roman" w:cs="Times New Roman" w:eastAsia="Times New Roman" w:hAnsi="Times New Roman"/>
          <w:sz w:val="18"/>
          <w:szCs w:val="18"/>
          <w:color w:val="auto"/>
        </w:rPr>
      </w:pPr>
    </w:p>
    <w:p>
      <w:pPr>
        <w:ind w:left="1540" w:hanging="52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capital market conditions;</w:t>
      </w:r>
    </w:p>
    <w:p>
      <w:pPr>
        <w:spacing w:after="0" w:line="117" w:lineRule="exact"/>
        <w:rPr>
          <w:rFonts w:ascii="Times New Roman" w:cs="Times New Roman" w:eastAsia="Times New Roman" w:hAnsi="Times New Roman"/>
          <w:sz w:val="18"/>
          <w:szCs w:val="18"/>
          <w:color w:val="auto"/>
        </w:rPr>
      </w:pPr>
    </w:p>
    <w:p>
      <w:pPr>
        <w:ind w:left="1540" w:hanging="52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related to our business or the business of our key customers or vendors;</w:t>
      </w:r>
    </w:p>
    <w:p>
      <w:pPr>
        <w:spacing w:after="0" w:line="117" w:lineRule="exact"/>
        <w:rPr>
          <w:rFonts w:ascii="Times New Roman" w:cs="Times New Roman" w:eastAsia="Times New Roman" w:hAnsi="Times New Roman"/>
          <w:sz w:val="18"/>
          <w:szCs w:val="18"/>
          <w:color w:val="auto"/>
        </w:rPr>
      </w:pPr>
    </w:p>
    <w:p>
      <w:pPr>
        <w:ind w:left="1540" w:hanging="52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performance of other companies deemed to be peers;</w:t>
      </w:r>
    </w:p>
    <w:p>
      <w:pPr>
        <w:spacing w:after="0" w:line="117" w:lineRule="exact"/>
        <w:rPr>
          <w:rFonts w:ascii="Times New Roman" w:cs="Times New Roman" w:eastAsia="Times New Roman" w:hAnsi="Times New Roman"/>
          <w:sz w:val="18"/>
          <w:szCs w:val="18"/>
          <w:color w:val="auto"/>
        </w:rPr>
      </w:pPr>
    </w:p>
    <w:p>
      <w:pPr>
        <w:ind w:left="1540" w:hanging="52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government regulators;</w:t>
      </w:r>
    </w:p>
    <w:p>
      <w:pPr>
        <w:spacing w:after="0" w:line="117" w:lineRule="exact"/>
        <w:rPr>
          <w:sz w:val="20"/>
          <w:szCs w:val="20"/>
          <w:color w:val="auto"/>
        </w:rPr>
      </w:pPr>
    </w:p>
    <w:p>
      <w:pPr>
        <w:ind w:left="1020"/>
        <w:spacing w:after="0"/>
        <w:tabs>
          <w:tab w:leader="none" w:pos="1520" w:val="left"/>
          <w:tab w:leader="none" w:pos="9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news reports of trends, concerns and other issues related to us or our industry, including changes in regulations;</w:t>
      </w:r>
      <w:r>
        <w:rPr>
          <w:sz w:val="20"/>
          <w:szCs w:val="20"/>
          <w:color w:val="auto"/>
        </w:rPr>
        <w:tab/>
      </w: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540" w:hanging="529"/>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such as acts or threats of terrorism, military conflicts, and the effects of pandemics.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Class A Common Stock price may fluctuate significantly in the future, and these fluctuations may be related to our performance. We also cannot predict the effect our dual-class structure may have on the market prices of our Class A Common Stock. General market price declines or market volatility in the future could adversely affect the price of our Class A Common Stock, and the current market price of our Class A Common Stock may not be indicative of future market prices.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operate in the transportation and logistics sector, which is subject to various cybersecurity risks that could adversely affect our business, financial condition and results of operations. We have implemented a risk-based approach aligned with industry standards to identify and assess the cybersecurity threats that could affect our business and information systems. We conduct periodic risk assessments to identify the potential impact and likelihood of various cyber scenarios, including those involving third-party service providers, and to determine the appropriate mitigation strategies and controls. We use various tools and methodologies to manage cybersecurity risk, including implementation of a business continuity process that includes a comprehensive Incident Response Protocol that is tested on a regular cadence and an information security training and awareness program. We also monitor and evaluate our cybersecurity posture and performance on an ongoing basis through regular vulnerability scans, penetration tests and threat intelligence feeds. We require third-party service providers with access to personal, confidential or proprietary information to implement and maintain comprehensive cybersecurity practices consistent with applicable legal standards and industry best practices.</w:t>
      </w:r>
    </w:p>
    <w:p>
      <w:pPr>
        <w:spacing w:after="0" w:line="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might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 In the last three years prior to filing of this Form 10-K, we have not experienced any significant information security breach.</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Board of Directors (the “Board”) has direct oversight of cybersecurity risks and strategy and receives quarterly updates from our Chief Information Officer (CIO). The Board has also delegated to our Audit Committee responsibilities related to cybersecurity and other risks of our Company. Our CIO has spent over 20 years in engineering and product development roles and our VP of Information Security and Operations has spent over 25 years in infrastructure and cybersecurity roles including in the finance and insurance industries. Additionally, one of the independent directors on our Board and a member of our Audit Committee has significant experience leading technology and information systems at some of the country’s leading healthcare organizations and adds to our Board substantial expertise and knowledge in information technology, privacy, data governance and cybersecurity. A cross-functional incident response team, which includes members of our management team, determines the apparent severity of reported potential incidents and operationalizes the cybersecurity incident response protocol.</w:t>
      </w:r>
    </w:p>
    <w:p>
      <w:pPr>
        <w:spacing w:after="0" w:line="3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2024, we directly, or indirectly through our subsidiaries, operated 101 offices, terminals and warehouses throughout the United States, Canada and Mexico, including our headquarters in Oak Brook, Illinois. All of our facilities are leased except for our headquarters. Most office, terminal and warehouse leases have initial terms of more than one year and many include options to renew. While some of our leases expire in the near term, we do not believe that we will have difficulty in renewing them or in finding alternative office, warehouse or terminal space. We believe that our offices, warehouses and terminals are adequate for the purposes for which they are currently used.</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a party to litigation in the ordinary course of our business, including at various times, claims for personal injury or property damage, bankruptcy preference claims, employment-related claims, including putative class actions, commercial and intellectual property disputes, and claims regarding freight lost or damaged in transit, improperly shipped or improperly billed. Some of the lawsuits to which we are a party are covered by insurance. For a further discussion of litigation involving us, see Note 15 to the consolidated financial statements under “Legal Matters,” which discussion and note are incorporated herein by reference.</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720" w:right="200" w:hanging="1152"/>
        <w:spacing w:after="0" w:line="28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AND RELATED STOCKHOLDER MATTERS AND ISSUER PURCHASES OF EQUITY SECURITIES</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Class A Common Stock (“Class A Common Stock”) trades on the Nasdaq Global Select Market tier of the Nasdaq Stock Market under the symbol “HUBG.” There is no established trading market for shares of our Class B Common Stock (the “Class B Common Stock” together with the Class A Common Stock, the “Common Stock”).</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February 18, 2025, there were approximately 398 stockholders of record of the Class A Common Stock and in addition, there were an estimated 45,944 beneficial owners of the Class A Common Stock whose shares were held by brokers and other fiduciary institutions. On February 18, 2025, there were 10 holders of record of our Class B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252530"/>
        </w:rPr>
        <w:t>On January 4, 2024, we announced a two-for-one stock split of our Class A and Class B common stock. Refer to the Note 1 to the consolidated financial statements for the effect of this stock split.</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Board authorized the purchase of up to $250 million of our Class A Common Stock pursuant to a share repurchase program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2023 Program</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Under the 2023 Program, the shares may be repurchased in the open market or in privately negotiated transactions, from time to time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subject to market and other conditions. The approved share repurchase program does not obligate us to repurchase any dollar amount or number of shares and the program may be modified, suspended or discontinued at any time.</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purchased 39,364 shares of Class A Common Stock for $1.7 million related to employee withholding upon vesting of restricted stock in the fourth quarter of 2024 and 56,564 shares for $2.1 million in the fourth quarter of 2023.</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table below includes information on a monthly basis regarding the number of shares delivered to us by employees to satisfy the mandatory tax withholding requirement upon vesting of restricted stock during the fourth quarter of 2024. These shares do not reduce the repurchase authority under the 2023 Program. We made no purchases under the 2023 Program in the fourth quarter of 2024. The table below also includes information on a monthly basis regarding the number of shares purchased under the 2023 Program.</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Maximum Value of</w:t>
            </w:r>
          </w:p>
        </w:tc>
      </w:tr>
      <w:tr>
        <w:trPr>
          <w:trHeight w:val="203"/>
        </w:trPr>
        <w:tc>
          <w:tcPr>
            <w:tcW w:w="28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Shares that May Yet</w:t>
            </w:r>
          </w:p>
        </w:tc>
      </w:tr>
      <w:tr>
        <w:trPr>
          <w:trHeight w:val="203"/>
        </w:trPr>
        <w:tc>
          <w:tcPr>
            <w:tcW w:w="28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8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Be Purchased Under</w:t>
            </w:r>
          </w:p>
        </w:tc>
      </w:tr>
      <w:tr>
        <w:trPr>
          <w:trHeight w:val="203"/>
        </w:trPr>
        <w:tc>
          <w:tcPr>
            <w:tcW w:w="28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28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Plan</w:t>
            </w:r>
          </w:p>
        </w:tc>
      </w:tr>
      <w:tr>
        <w:trPr>
          <w:trHeight w:val="212"/>
        </w:trPr>
        <w:tc>
          <w:tcPr>
            <w:tcW w:w="286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8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000’s)</w:t>
            </w:r>
          </w:p>
        </w:tc>
      </w:tr>
      <w:tr>
        <w:trPr>
          <w:trHeight w:val="188"/>
        </w:trPr>
        <w:tc>
          <w:tcPr>
            <w:tcW w:w="286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rPr>
              <w:t>10/1/2024 - 10/31/2024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35,419</w:t>
            </w:r>
          </w:p>
        </w:tc>
        <w:tc>
          <w:tcPr>
            <w:tcW w:w="340" w:type="dxa"/>
            <w:vAlign w:val="bottom"/>
          </w:tcPr>
          <w:p>
            <w:pPr>
              <w:spacing w:after="0"/>
              <w:rPr>
                <w:sz w:val="16"/>
                <w:szCs w:val="16"/>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28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155,348</w:t>
            </w:r>
          </w:p>
        </w:tc>
      </w:tr>
      <w:tr>
        <w:trPr>
          <w:trHeight w:val="203"/>
        </w:trPr>
        <w:tc>
          <w:tcPr>
            <w:tcW w:w="286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rPr>
              <w:t>11/1/2024 - 11/30/2024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155,348</w:t>
            </w:r>
          </w:p>
        </w:tc>
      </w:tr>
      <w:tr>
        <w:trPr>
          <w:trHeight w:val="210"/>
        </w:trPr>
        <w:tc>
          <w:tcPr>
            <w:tcW w:w="286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rPr>
              <w:t>12/1/2024 - 12/31/2024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155,348</w:t>
            </w:r>
          </w:p>
        </w:tc>
      </w:tr>
      <w:tr>
        <w:trPr>
          <w:trHeight w:val="202"/>
        </w:trPr>
        <w:tc>
          <w:tcPr>
            <w:tcW w:w="2860" w:type="dxa"/>
            <w:vAlign w:val="bottom"/>
          </w:tcPr>
          <w:p>
            <w:pPr>
              <w:jc w:val="right"/>
              <w:ind w:right="1999"/>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39,364</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w:t>
            </w:r>
          </w:p>
        </w:tc>
        <w:tc>
          <w:tcPr>
            <w:tcW w:w="280" w:type="dxa"/>
            <w:vAlign w:val="bottom"/>
          </w:tcPr>
          <w:p>
            <w:pPr>
              <w:spacing w:after="0"/>
              <w:rPr>
                <w:sz w:val="17"/>
                <w:szCs w:val="17"/>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155,348</w:t>
            </w:r>
          </w:p>
        </w:tc>
      </w:tr>
      <w:tr>
        <w:trPr>
          <w:trHeight w:val="20"/>
        </w:trPr>
        <w:tc>
          <w:tcPr>
            <w:tcW w:w="2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2530"/>
        </w:rPr>
        <w:t>Quarterly Cash Dividend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52530"/>
        </w:rPr>
        <w:t>The Board declared quarterly cash dividends throughout 2024 as follows:</w:t>
      </w:r>
    </w:p>
    <w:p>
      <w:pPr>
        <w:spacing w:after="0" w:line="117" w:lineRule="exact"/>
        <w:rPr>
          <w:sz w:val="20"/>
          <w:szCs w:val="20"/>
          <w:color w:val="auto"/>
        </w:rPr>
      </w:pPr>
    </w:p>
    <w:p>
      <w:pPr>
        <w:ind w:left="760" w:right="580" w:hanging="378"/>
        <w:spacing w:after="0" w:line="282" w:lineRule="auto"/>
        <w:tabs>
          <w:tab w:leader="none" w:pos="760" w:val="left"/>
        </w:tabs>
        <w:numPr>
          <w:ilvl w:val="0"/>
          <w:numId w:val="10"/>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February 22, 2024, the Board declared a quarterly cash dividend of $0.125 per share on our Class A and Class B Common Stock. The dividend was paid on March 27, 2024 to stockholders of record as of March 8, 2024.</w:t>
      </w:r>
    </w:p>
    <w:p>
      <w:pPr>
        <w:spacing w:after="0" w:line="53" w:lineRule="exact"/>
        <w:rPr>
          <w:rFonts w:ascii="Times New Roman" w:cs="Times New Roman" w:eastAsia="Times New Roman" w:hAnsi="Times New Roman"/>
          <w:sz w:val="18"/>
          <w:szCs w:val="18"/>
          <w:color w:val="252530"/>
        </w:rPr>
      </w:pPr>
    </w:p>
    <w:p>
      <w:pPr>
        <w:ind w:left="760" w:right="240" w:hanging="378"/>
        <w:spacing w:after="0" w:line="282" w:lineRule="auto"/>
        <w:tabs>
          <w:tab w:leader="none" w:pos="760" w:val="left"/>
        </w:tabs>
        <w:numPr>
          <w:ilvl w:val="0"/>
          <w:numId w:val="10"/>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May 23, 2024, the Board declared a quarterly cash dividend of $0.125 per share on our Class A and Class B Common Stock. The dividend was paid on June 26, 2024 to stockholders of record as of June 7, 2024.</w:t>
      </w:r>
    </w:p>
    <w:p>
      <w:pPr>
        <w:spacing w:after="0" w:line="53" w:lineRule="exact"/>
        <w:rPr>
          <w:rFonts w:ascii="Times New Roman" w:cs="Times New Roman" w:eastAsia="Times New Roman" w:hAnsi="Times New Roman"/>
          <w:sz w:val="18"/>
          <w:szCs w:val="18"/>
          <w:color w:val="252530"/>
        </w:rPr>
      </w:pPr>
    </w:p>
    <w:p>
      <w:pPr>
        <w:ind w:left="760" w:right="40" w:hanging="378"/>
        <w:spacing w:after="0" w:line="282" w:lineRule="auto"/>
        <w:tabs>
          <w:tab w:leader="none" w:pos="760" w:val="left"/>
        </w:tabs>
        <w:numPr>
          <w:ilvl w:val="0"/>
          <w:numId w:val="10"/>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August 27, 2024, the Board declared a quarterly cash dividend of $0.125 per share on our Class A and Class B Common Stock. The dividend was paid on September 25, 2024 to stockholders of record as of September 6, 2024.</w:t>
      </w:r>
    </w:p>
    <w:p>
      <w:pPr>
        <w:spacing w:after="0" w:line="53" w:lineRule="exact"/>
        <w:rPr>
          <w:rFonts w:ascii="Times New Roman" w:cs="Times New Roman" w:eastAsia="Times New Roman" w:hAnsi="Times New Roman"/>
          <w:sz w:val="18"/>
          <w:szCs w:val="18"/>
          <w:color w:val="252530"/>
        </w:rPr>
      </w:pPr>
    </w:p>
    <w:p>
      <w:pPr>
        <w:ind w:left="760" w:right="480" w:hanging="378"/>
        <w:spacing w:after="0" w:line="282" w:lineRule="auto"/>
        <w:tabs>
          <w:tab w:leader="none" w:pos="760" w:val="left"/>
        </w:tabs>
        <w:numPr>
          <w:ilvl w:val="0"/>
          <w:numId w:val="10"/>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November 25, 2024, the Board declared a quarterly cash dividend of $0.125 per share on our Class A and Class B Common Stock. The dividend was paid on December 20, 2024 to stockholders of record as of December 6, 2024.</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252530"/>
        </w:rPr>
        <w:t xml:space="preserve">The declarations and payments of the quarterly cash dividends were subject to the approval of the Board at its sole discretion and in compliance with applicable laws and regulations. </w:t>
      </w:r>
      <w:r>
        <w:rPr>
          <w:rFonts w:ascii="Times New Roman" w:cs="Times New Roman" w:eastAsia="Times New Roman" w:hAnsi="Times New Roman"/>
          <w:sz w:val="18"/>
          <w:szCs w:val="18"/>
          <w:color w:val="000000"/>
        </w:rPr>
        <w:t>Accordingly, there can be no assurance that the Board will declare or pay cash dividends on the shares of Common Stock</w:t>
      </w:r>
      <w:r>
        <w:rPr>
          <w:rFonts w:ascii="Times New Roman" w:cs="Times New Roman" w:eastAsia="Times New Roman" w:hAnsi="Times New Roman"/>
          <w:sz w:val="18"/>
          <w:szCs w:val="18"/>
          <w:color w:val="252530"/>
        </w:rPr>
        <w:t xml:space="preserve"> </w:t>
      </w:r>
      <w:r>
        <w:rPr>
          <w:rFonts w:ascii="Times New Roman" w:cs="Times New Roman" w:eastAsia="Times New Roman" w:hAnsi="Times New Roman"/>
          <w:sz w:val="18"/>
          <w:szCs w:val="18"/>
          <w:color w:val="000000"/>
        </w:rPr>
        <w:t>in the future. Our certificate of incorporation requires that any cash dividends must be paid equally on each outstanding share of Class A Common Stock and Class B Common Stock. Our credit facility prohibits us from paying dividends on the Common Stock if there has been, or immediately following the payment of a dividend there would be, a default or an event of default under the credit facility.</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line graph compares our cumulative total stockholder return on our Class A Common Stock since December 31, 2019 with the cumulative total return of the Nasdaq Stock Market Index (NQUSBT) and the Nasdaq Transportation Index (NQUSB27707). These comparisons assume the investment of $100 on December 31, 2019 in each index and in our Class A Common Stock and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191770</wp:posOffset>
            </wp:positionV>
            <wp:extent cx="5349240" cy="4688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468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a leading supply chain solutions provider in North America that offers comprehensive transportation and logistics management services focused on reliability, visibility and value for our customers. Our service offerings include a full range of freight transportation and logistics services, some of which are provided using assets we own and operate, and some of which are provided by third parties with whom we contract. Our services include intermodal, truckload, less-than-truckload, flatbed, temperature-controlled, dedicated and regional trucking. Other services include full outsource logistics solutions, transportation management services, consolidation and fulfillment services, final mile delivery, parcel and international services.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service a large and diversified customer base in a broad range of industries, including retail, consumer products and durable goods. We believe our strategy to offer multi-modal supply chain management solutions serves to strengthen and deepen our relationships with our customers and allows us to provide a more cost effective and higher service solution.</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concluded we have two reportable segments - Intermodal and Transportation Solutions (“ITS”), and Logistics, which are based primarily on the services each segment provides.</w:t>
      </w:r>
    </w:p>
    <w:p>
      <w:pPr>
        <w:spacing w:after="0" w:line="5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Intermodal and Transportation Solutions. </w:t>
      </w:r>
      <w:r>
        <w:rPr>
          <w:rFonts w:ascii="Times New Roman" w:cs="Times New Roman" w:eastAsia="Times New Roman" w:hAnsi="Times New Roman"/>
          <w:sz w:val="18"/>
          <w:szCs w:val="18"/>
          <w:color w:val="auto"/>
        </w:rPr>
        <w:t>Our ITS segment offers high service, nationwide door-to-door intermodal transportation, providing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visibility and reliability in both transcontinental and local lanes by combining rail transportation with local trucking. This segment includes our trucking operations which provides our customers with local pickup and delivery as well as high service local and regional trucking transportation using equipment dedicated to their needs. In 2024, approximately 73% of our drayage services was provided by our own fleet. We arrange for the movement of our customers’ freight in one of our approximately 50,000 containers. We contract with railroads to provide transportation for the long-haul portion of the shipment between rail terminals. Drayage between origin or destination and rail terminals are provided by our own trucking operations and third parties with whom we contract. Our dedicated service operation offers fleets of equipment and drivers to each customer on a contract basis, as well as the management and infrastructure to operate according to the customer’s high service expectations. As of December 31, 2024, our trucking transportation operation consisted of approximately 2,300 tractors, 3,200 employee drivers and 4,700 trailers. We also contract for services with approximately 500 independent owner-operators. These assets and contractual services are used to support drayage for our intermodal service offering and to serve our customers who require high service local and regional trucking transportation using equipment dedicated to their needs. Our dedicated service operation offers fleets of equipment and drivers to each customer on a contract basis, as well as the management and infrastructure to operate according to the customer’s high service expectations.</w:t>
      </w:r>
    </w:p>
    <w:p>
      <w:pPr>
        <w:spacing w:after="0" w:line="7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Logistics</w:t>
      </w:r>
      <w:r>
        <w:rPr>
          <w:rFonts w:ascii="Times New Roman" w:cs="Times New Roman" w:eastAsia="Times New Roman" w:hAnsi="Times New Roman"/>
          <w:sz w:val="18"/>
          <w:szCs w:val="18"/>
          <w:color w:val="auto"/>
        </w:rPr>
        <w:t>. Our Logistics segment offers a wide range of non-asset-based services including transportation management, freight brokerage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shipment optimization, load consolidation, mode selection, carrier management, load planning and execution, cross-docking, consolidation and fulfillment services and final mile delivery. Logistics includes our brokerage business which consists of a full range of trucking transportation services, including dry van, expedited, less-than-truckload (“LTL”), refrigerated and flatbed, all of which is provided by third-party carriers with whom we contract. We leverage proprietary technology along with collaborative relationships with third-party service providers to deliver cost savings and performance-enhancing supply chain services to our clients. Our transportation management offering also serves as a source of volume for our ITS segment. Many of the customers for these solutions are consumer goods companies who sell into the retail channel. Our final mile delivery offering provides residential final mile delivery and installation of appliances and big and bulky goods. Final mile operates through a network of independent service providers in company, customer and third-party facilities throughout the continental United States. Our business operates or has access to approximately 7 million square feet of warehousing and cross-dock space across North America, to which our customers ship their goods to be stored and distributed to destinations including residences, retail stores and other commercial locations. These services offer our customers shipment visibility, transportation cost savings, high service and compliance with retailers’ increasingly stringent supply chain requirements.</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focused on several margin enhancement projects including network optimization, matching of inbound and outbound loads, reducing empty miles, improving our recovery of accessorial costs, increasing our driver and asset utilization, reducing repositioning costs, providing holistic solutions and improving low profit freight. Hub’s top 50 customers represent approximately 68% of revenue for fiscal 2024 while one customer accounted for more than 10% of our annual revenue in 2024 in both segments. We use various performance indicators to manage our business. We closely monitor profit levels for our customers. We also evaluate on-time performance, customer service, cost per load and daily sales outstanding by customer account. Vendor cost changes and vendor service levels are also monitored closely.</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Uncertainties and risks to our outlook include inflation, increased healthcare costs, a slowdown in consumer spending (driven by, among other factors, rising inflation, tariffs, increases in interest rates, an economic recession and geopolitical concerns), a shift by consumers to spending on services at the expense of goods, an increase of retailers’ inventory levels, the ability of customers to pay our accounts receivable, a significant increase in transportation supply in the marketplace, aggressive pricing actions by our competitors and any inability to pass cost increases, such as transportation and warehouse costs, through to our customers, economic factors such as the impact of potentially increasing tariffs between trading partners, all of which could have a materially negative impact on our revenue, profitability and cash flow in 2025. Exiting of truckload capacity, retail inventory levels declining leading to restocking demand, a return of typical shipping peak season demands and a stronger used tractor market could have a materially positive impact on our revenue, profitability and cash flows in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October 23, 2024, we entered into an investment agreement with Corporación Interamericana de Logística, S.A. de C.V. and certain associated entities (commonly known as “EASO”), to acquire a controlling interest in EASO. The estimated fair value of total consideration transferred was approximately $55 million for a 51% equity stake in EASO.</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On December 20, 2023, we acquired 100% of the equity interests of Forward Air Final Mile (“FAFM”). Total consideration for the transaction was approximately $257.2 million in cash.</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On August 22, 2022, we acquired 100% of the equity interests of </w:t>
      </w:r>
      <w:r>
        <w:rPr>
          <w:rFonts w:ascii="Times New Roman" w:cs="Times New Roman" w:eastAsia="Times New Roman" w:hAnsi="Times New Roman"/>
          <w:sz w:val="18"/>
          <w:szCs w:val="18"/>
          <w:color w:val="231F20"/>
        </w:rPr>
        <w:t>TAGG.</w:t>
      </w:r>
      <w:r>
        <w:rPr>
          <w:rFonts w:ascii="Times New Roman" w:cs="Times New Roman" w:eastAsia="Times New Roman" w:hAnsi="Times New Roman"/>
          <w:sz w:val="18"/>
          <w:szCs w:val="18"/>
          <w:color w:val="auto"/>
        </w:rPr>
        <w:t xml:space="preserve"> Total consideration for the transaction was approximately $103.4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operating revenue by segment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1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6160" w:type="dxa"/>
            <w:vAlign w:val="bottom"/>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r>
      <w:tr>
        <w:trPr>
          <w:trHeight w:val="182"/>
        </w:trPr>
        <w:tc>
          <w:tcPr>
            <w:tcW w:w="6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Intermodal and Transportation Solutions</w:t>
            </w:r>
          </w:p>
        </w:tc>
        <w:tc>
          <w:tcPr>
            <w:tcW w:w="1280" w:type="dxa"/>
            <w:vAlign w:val="bottom"/>
          </w:tcPr>
          <w:p>
            <w:pPr>
              <w:jc w:val="right"/>
              <w:ind w:right="109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2,243,440</w:t>
            </w:r>
          </w:p>
        </w:tc>
        <w:tc>
          <w:tcPr>
            <w:tcW w:w="880" w:type="dxa"/>
            <w:vAlign w:val="bottom"/>
          </w:tcPr>
          <w:p>
            <w:pPr>
              <w:spacing w:after="0"/>
              <w:rPr>
                <w:sz w:val="15"/>
                <w:szCs w:val="15"/>
                <w:color w:val="auto"/>
              </w:rPr>
            </w:pPr>
          </w:p>
        </w:tc>
        <w:tc>
          <w:tcPr>
            <w:tcW w:w="460" w:type="dxa"/>
            <w:vAlign w:val="bottom"/>
          </w:tcPr>
          <w:p>
            <w:pPr>
              <w:jc w:val="right"/>
              <w:ind w:right="2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2,495,663</w:t>
            </w:r>
          </w:p>
        </w:tc>
        <w:tc>
          <w:tcPr>
            <w:tcW w:w="60" w:type="dxa"/>
            <w:vAlign w:val="bottom"/>
          </w:tcPr>
          <w:p>
            <w:pPr>
              <w:spacing w:after="0"/>
              <w:rPr>
                <w:sz w:val="15"/>
                <w:szCs w:val="15"/>
                <w:color w:val="auto"/>
              </w:rPr>
            </w:pP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Logistics</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1,829,450</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1,820,856</w:t>
            </w:r>
          </w:p>
        </w:tc>
        <w:tc>
          <w:tcPr>
            <w:tcW w:w="60" w:type="dxa"/>
            <w:vAlign w:val="bottom"/>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eliminations</w:t>
            </w:r>
          </w:p>
        </w:tc>
        <w:tc>
          <w:tcPr>
            <w:tcW w:w="128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(126,500 )</w:t>
            </w:r>
          </w:p>
        </w:tc>
        <w:tc>
          <w:tcPr>
            <w:tcW w:w="4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(113,934 )</w:t>
            </w:r>
          </w:p>
        </w:tc>
      </w:tr>
      <w:tr>
        <w:trPr>
          <w:trHeight w:val="19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3,946,390</w:t>
            </w:r>
          </w:p>
        </w:tc>
        <w:tc>
          <w:tcPr>
            <w:tcW w:w="8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4,202,585</w:t>
            </w:r>
          </w:p>
        </w:tc>
        <w:tc>
          <w:tcPr>
            <w:tcW w:w="60" w:type="dxa"/>
            <w:vAlign w:val="bottom"/>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operating income by segment (in thousands):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Years Ended</w:t>
            </w: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8"/>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8"/>
                <w:szCs w:val="18"/>
                <w:color w:val="auto"/>
              </w:rPr>
            </w:pPr>
          </w:p>
        </w:tc>
      </w:tr>
      <w:tr>
        <w:trPr>
          <w:trHeight w:val="196"/>
        </w:trPr>
        <w:tc>
          <w:tcPr>
            <w:tcW w:w="6160" w:type="dxa"/>
            <w:vAlign w:val="bottom"/>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2"/>
        </w:trPr>
        <w:tc>
          <w:tcPr>
            <w:tcW w:w="6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Intermodal and Transportation Solutions</w:t>
            </w:r>
          </w:p>
        </w:tc>
        <w:tc>
          <w:tcPr>
            <w:tcW w:w="1340" w:type="dxa"/>
            <w:vAlign w:val="bottom"/>
          </w:tcPr>
          <w:p>
            <w:pPr>
              <w:jc w:val="right"/>
              <w:ind w:right="1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56,952</w:t>
            </w:r>
          </w:p>
        </w:tc>
        <w:tc>
          <w:tcPr>
            <w:tcW w:w="880" w:type="dxa"/>
            <w:vAlign w:val="bottom"/>
          </w:tcPr>
          <w:p>
            <w:pPr>
              <w:spacing w:after="0"/>
              <w:rPr>
                <w:sz w:val="15"/>
                <w:szCs w:val="15"/>
                <w:color w:val="auto"/>
              </w:rPr>
            </w:pPr>
          </w:p>
        </w:tc>
        <w:tc>
          <w:tcPr>
            <w:tcW w:w="460" w:type="dxa"/>
            <w:vAlign w:val="bottom"/>
          </w:tcPr>
          <w:p>
            <w:pPr>
              <w:jc w:val="right"/>
              <w:ind w:right="2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107,117</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Logistics</w:t>
            </w: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83,339</w:t>
            </w:r>
          </w:p>
        </w:tc>
        <w:tc>
          <w:tcPr>
            <w:tcW w:w="8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105,114</w:t>
            </w:r>
          </w:p>
        </w:tc>
      </w:tr>
      <w:tr>
        <w:trPr>
          <w:trHeight w:val="202"/>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income</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140,291</w:t>
            </w:r>
          </w:p>
        </w:tc>
        <w:tc>
          <w:tcPr>
            <w:tcW w:w="880" w:type="dxa"/>
            <w:vAlign w:val="bottom"/>
          </w:tcPr>
          <w:p>
            <w:pPr>
              <w:spacing w:after="0"/>
              <w:rPr>
                <w:sz w:val="17"/>
                <w:szCs w:val="17"/>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212,231</w:t>
            </w:r>
          </w:p>
        </w:tc>
      </w:tr>
      <w:tr>
        <w:trPr>
          <w:trHeight w:val="20"/>
        </w:trPr>
        <w:tc>
          <w:tcPr>
            <w:tcW w:w="6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consolidated operating revenue decreased 6% to $3.9 billion in 2024 from $4.2 billion in 2023.</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Intermodal and Transportation Solutions (“ITS”) revenue decreased 10% to $2.2 billion primarily due to a 15% decline in intermodal revenue per load (primarily due to lower prices, lower fuel surcharges, accessorial revenue and mix), partially offset by a 5% increase in intermodal volumes and a 1% growth in dedicated revenues due to customers onboarded in late 2023.</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ITS operating income decreased to $57 million, 2.5% of revenue, as compared to $107 million, 4.3% of revenue in the prior year due to lower customer rates in intermodal, lower accessorial income and more normalized bonus expense for employees. These headwinds were partially offset by lower drayage costs and lower equipment costs.</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Logistics revenue remained consistent at $1.8 billion primarily driven by lower revenue per load in our brokerage service line, lower volumes in our brokerage business and lower revenue in our managed transportation and consolidation and fulfillment services. This was partially offset by growth in our final mile business due to the FAFM acquisition in late 2023.</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Logistics operating income was 4.6% of revenue in 2024 compared to 5.8% in 2023. Lower revenue was partially offset by lower purchased transportation costs and a change of business mix between our lines of business. Operating income was $83 million as compared to $105 million last year driven by lower yields in brokerage and we incurred approximately $13 million of incremental costs related to warehouse consolidation to provide better customer service, our network alignment initiative within consolidation and fulfillment.</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operating results and certain items in the consolidated statements of income as a percentage of revenue (in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8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3,946,390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18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4,202,585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97"/>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Purchased transportation and warehousing</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2,930,562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74.2%</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3,145,595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benefits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577,464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14.6%</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141,469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and claims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4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(1,274 )</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(6,835 )</w:t>
            </w:r>
          </w:p>
        </w:tc>
        <w:tc>
          <w:tcPr>
            <w:tcW w:w="240" w:type="dxa"/>
            <w:vAlign w:val="bottom"/>
          </w:tcPr>
          <w:p>
            <w:pPr>
              <w:spacing w:after="0"/>
              <w:rPr>
                <w:sz w:val="18"/>
                <w:szCs w:val="18"/>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-0.2%</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3,806,099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96.4%</w:t>
            </w:r>
          </w:p>
        </w:tc>
        <w:tc>
          <w:tcPr>
            <w:tcW w:w="36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3,990,354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r>
        <w:trPr>
          <w:trHeight w:val="195"/>
        </w:trPr>
        <w:tc>
          <w:tcPr>
            <w:tcW w:w="4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vMerge w:val="restart"/>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140,291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tcBorders>
              <w:bottom w:val="single" w:sz="8" w:color="auto"/>
            </w:tcBorders>
          </w:tcPr>
          <w:p>
            <w:pPr>
              <w:spacing w:after="0"/>
              <w:rPr>
                <w:sz w:val="17"/>
                <w:szCs w:val="17"/>
                <w:color w:val="auto"/>
              </w:rPr>
            </w:pPr>
          </w:p>
        </w:tc>
        <w:tc>
          <w:tcPr>
            <w:tcW w:w="12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212,231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Transportation and Warehousing</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Purchased transportation and warehousing costs decreased 7% to $2.9 billion in 2024 from $3.1 billion in 2023. As a percentage of revenue, purchased transportation and warehousing costs decreased to 74.2% in 2024 versus 74.8% in 2023 due to cost control initiatives.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Purchased transportation and warehousing costs declined as compared to prior year due to lower volumes in brokerage, and reductions in third party carrier costs, partially offset by network alignment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Salaries and Benefits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Salaries and benefits increased to $577 million in 2024 from $553 million in 2023. As a percentage of revenue, salaries and benefits increased to 14.6% in 2024 from 13.2% in 2023.</w:t>
      </w:r>
    </w:p>
    <w:p>
      <w:pPr>
        <w:spacing w:after="0" w:line="54" w:lineRule="exact"/>
        <w:rPr>
          <w:sz w:val="20"/>
          <w:szCs w:val="20"/>
          <w:color w:val="auto"/>
        </w:rPr>
      </w:pPr>
    </w:p>
    <w:p>
      <w:pPr>
        <w:jc w:val="both"/>
        <w:ind w:firstLine="425"/>
        <w:spacing w:after="0" w:line="266" w:lineRule="auto"/>
        <w:rPr>
          <w:sz w:val="20"/>
          <w:szCs w:val="20"/>
          <w:color w:val="auto"/>
        </w:rPr>
      </w:pPr>
      <w:r>
        <w:rPr>
          <w:rFonts w:ascii="Times New Roman" w:cs="Times New Roman" w:eastAsia="Times New Roman" w:hAnsi="Times New Roman"/>
          <w:sz w:val="18"/>
          <w:szCs w:val="18"/>
          <w:color w:val="auto"/>
        </w:rPr>
        <w:t>This expense increase was due primarily to the FAFM acquisition on December 20, 2023 and the EASO transaction on October 23, 2024, as well as an increase in incentive compensation expense of $8 million, partially offset by decreases in driver related expenses of $15 million related to lower average driver headcount, lower office compensation expense of $7 million and lower restricted stock expense of $3 million.</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Headcount, which includes drivers, warehouse personnel and office employees, was 6,471 as of December 31, 2024, which included 477 employees of EASO. As of December 31, 2023, headcount was 5,956. The increase in headcount was due primarily to the EASO transaction.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Depreciation and amortization expense decreased to $141 million in 2024 from $144 million in 2023. This expense decrease was primarily due to decreased container depreciation expense resulting from changes made in the third quarter of 2024 to the estimated useful lives of our containers as well as decreased tractor depreciation expense resulting from a smaller tractor fleet in 2024. These decreases were partially offset by an increase in amortization expense of intangibles related to the FAFM acquisition and the EASO transaction. This expense, as a percentage of revenue, increased to 3.6% in 2024 from 3.4% in 2023. Depreciation expense includes transportation equipment, technology investments, leasehold improvements, warehouse equipment, office equipment and building improvements. Amortization expense includes trade names, customer relationships, carrier network relationships, independent contractor relationships, developed technology and carrier and independent service provider relationships.</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Insurance and Claims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Insurance and claims expense decreased to $44 million in 2024 from $49 million in 2023. This expense decrease was primarily due to less claim expenses related to both auto liability and workers compensation claims in 2024. These expenses, as a percentage of revenue, decreased to 1.1% in 2024 from 1.2%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to $114 million in 2024 from $106 million in 2023. These expenses, as a percentage of revenue, increased to 2.9% in 2024 from 2.5% in 2023.</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expense increase was primarily due increased expenses from FAFM, which incurred twelve months of expenses in 2024 as compared to less than a month of expenses in 2023, increased expenses from EASO which was acquired in October 2024, as well as increases in rent expense, use tax expense, legal expense and IT service expense. These increases were partially offset by the non-recurrence of an impairment of a right-of-use asset and a decrease in bad debt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of Assets, Net</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Net gains on the sale of equipment decreased to $1 million in 2024 from $7 million in 2023. This decrease resulted from both less units sold and a lower average gain per unit sold in 2024 as compared to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expense, net increased to $8 million in 2024 from $3 million in 2023. The change was driven by decreased interest income in 2024 primarily due to lower average cash balances throughout the year. Interest expense increased to $14 million in 2024 from $13 million in 2023 driven by higher interest rates on our debt, partially offset by lower average debt balances.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provision for income taxes decreased to $29 million in 2024 from $42 million in 2023 due to a decrease in pre-tax income. We provided for income taxes using an effective rate of 21.5% in 2024 and an effective rate of 19.9% in 2023. The effective tax rate was higher in 2024 because there were significant refund claims made in 2023 related to a change in state apportionment methodology that did not reoccur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operating revenue by segment (in thousands):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1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6160" w:type="dxa"/>
            <w:vAlign w:val="bottom"/>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r>
      <w:tr>
        <w:trPr>
          <w:trHeight w:val="182"/>
        </w:trPr>
        <w:tc>
          <w:tcPr>
            <w:tcW w:w="6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Intermodal and Transportation Solutions</w:t>
            </w:r>
          </w:p>
        </w:tc>
        <w:tc>
          <w:tcPr>
            <w:tcW w:w="1280" w:type="dxa"/>
            <w:vAlign w:val="bottom"/>
          </w:tcPr>
          <w:p>
            <w:pPr>
              <w:jc w:val="right"/>
              <w:ind w:right="109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2,495,663</w:t>
            </w:r>
          </w:p>
        </w:tc>
        <w:tc>
          <w:tcPr>
            <w:tcW w:w="880" w:type="dxa"/>
            <w:vAlign w:val="bottom"/>
          </w:tcPr>
          <w:p>
            <w:pPr>
              <w:spacing w:after="0"/>
              <w:rPr>
                <w:sz w:val="15"/>
                <w:szCs w:val="15"/>
                <w:color w:val="auto"/>
              </w:rPr>
            </w:pPr>
          </w:p>
        </w:tc>
        <w:tc>
          <w:tcPr>
            <w:tcW w:w="460" w:type="dxa"/>
            <w:vAlign w:val="bottom"/>
          </w:tcPr>
          <w:p>
            <w:pPr>
              <w:jc w:val="right"/>
              <w:ind w:right="2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3,312,431</w:t>
            </w:r>
          </w:p>
        </w:tc>
        <w:tc>
          <w:tcPr>
            <w:tcW w:w="60" w:type="dxa"/>
            <w:vAlign w:val="bottom"/>
          </w:tcPr>
          <w:p>
            <w:pPr>
              <w:spacing w:after="0"/>
              <w:rPr>
                <w:sz w:val="15"/>
                <w:szCs w:val="15"/>
                <w:color w:val="auto"/>
              </w:rPr>
            </w:pPr>
          </w:p>
        </w:tc>
      </w:tr>
      <w:tr>
        <w:trPr>
          <w:trHeight w:val="202"/>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Logistics</w:t>
            </w:r>
          </w:p>
        </w:tc>
        <w:tc>
          <w:tcPr>
            <w:tcW w:w="1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1,820,856</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2,121,818</w:t>
            </w:r>
          </w:p>
        </w:tc>
        <w:tc>
          <w:tcPr>
            <w:tcW w:w="60" w:type="dxa"/>
            <w:vAlign w:val="bottom"/>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eliminations</w:t>
            </w:r>
          </w:p>
        </w:tc>
        <w:tc>
          <w:tcPr>
            <w:tcW w:w="128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(113,934 )</w:t>
            </w:r>
          </w:p>
        </w:tc>
        <w:tc>
          <w:tcPr>
            <w:tcW w:w="4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(93,759 )</w:t>
            </w:r>
          </w:p>
        </w:tc>
      </w:tr>
      <w:tr>
        <w:trPr>
          <w:trHeight w:val="19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4,202,585</w:t>
            </w:r>
          </w:p>
        </w:tc>
        <w:tc>
          <w:tcPr>
            <w:tcW w:w="8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5,340,490</w:t>
            </w:r>
          </w:p>
        </w:tc>
        <w:tc>
          <w:tcPr>
            <w:tcW w:w="60" w:type="dxa"/>
            <w:vAlign w:val="bottom"/>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operating income by segment (in thousands):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Years Ended</w:t>
            </w: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8"/>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8"/>
                <w:szCs w:val="18"/>
                <w:color w:val="auto"/>
              </w:rPr>
            </w:pPr>
          </w:p>
        </w:tc>
      </w:tr>
      <w:tr>
        <w:trPr>
          <w:trHeight w:val="196"/>
        </w:trPr>
        <w:tc>
          <w:tcPr>
            <w:tcW w:w="6160" w:type="dxa"/>
            <w:vAlign w:val="bottom"/>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2"/>
        </w:trPr>
        <w:tc>
          <w:tcPr>
            <w:tcW w:w="6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Intermodal and Transportation Solutions</w:t>
            </w:r>
          </w:p>
        </w:tc>
        <w:tc>
          <w:tcPr>
            <w:tcW w:w="1340" w:type="dxa"/>
            <w:vAlign w:val="bottom"/>
          </w:tcPr>
          <w:p>
            <w:pPr>
              <w:jc w:val="right"/>
              <w:ind w:right="1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107,117</w:t>
            </w:r>
          </w:p>
        </w:tc>
        <w:tc>
          <w:tcPr>
            <w:tcW w:w="880" w:type="dxa"/>
            <w:vAlign w:val="bottom"/>
          </w:tcPr>
          <w:p>
            <w:pPr>
              <w:spacing w:after="0"/>
              <w:rPr>
                <w:sz w:val="15"/>
                <w:szCs w:val="15"/>
                <w:color w:val="auto"/>
              </w:rPr>
            </w:pPr>
          </w:p>
        </w:tc>
        <w:tc>
          <w:tcPr>
            <w:tcW w:w="460" w:type="dxa"/>
            <w:vAlign w:val="bottom"/>
          </w:tcPr>
          <w:p>
            <w:pPr>
              <w:jc w:val="right"/>
              <w:ind w:right="2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348,537</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Logistics</w:t>
            </w: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105,114</w:t>
            </w:r>
          </w:p>
        </w:tc>
        <w:tc>
          <w:tcPr>
            <w:tcW w:w="8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126,184</w:t>
            </w:r>
          </w:p>
        </w:tc>
      </w:tr>
      <w:tr>
        <w:trPr>
          <w:trHeight w:val="202"/>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income</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212,231</w:t>
            </w:r>
          </w:p>
        </w:tc>
        <w:tc>
          <w:tcPr>
            <w:tcW w:w="880" w:type="dxa"/>
            <w:vAlign w:val="bottom"/>
          </w:tcPr>
          <w:p>
            <w:pPr>
              <w:spacing w:after="0"/>
              <w:rPr>
                <w:sz w:val="17"/>
                <w:szCs w:val="17"/>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474,721</w:t>
            </w:r>
          </w:p>
        </w:tc>
      </w:tr>
      <w:tr>
        <w:trPr>
          <w:trHeight w:val="20"/>
        </w:trPr>
        <w:tc>
          <w:tcPr>
            <w:tcW w:w="6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8"/>
          <w:szCs w:val="18"/>
          <w:color w:val="auto"/>
        </w:rPr>
        <w:t>Total consolidated operating revenue decreased 21% to $4.2 billion in 2023 from $5.3 billion in 2022.</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Intermodal and Transportation Solutions (“ITS”) revenue decreased 25% to $2.5 billion primarily due to a 14% decrease in intermodal volume due to low transportation demand and an oversupply of truckload carrier capacity, a 14% decrease in intermodal revenue per load (primarily due to lower price, fuel prices and mix) and a 4% decline in dedicated revenues due to lost customers partially offset by growth with existing and new customers.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ITS operating income decreased to $107 million, 4.3% of revenue, as compared to $349 million, 10.5% of revenue in the prior year due to lower volume, lower customer rates, and lower surcharges and accessorial income. These headwinds were partially offset by lower drayage costs as we increased the portion of drayage handled on our own fleet to 78% in 2023 as compared to 55% in the prior year, as well as an improvement in profitability at our dedicated trucking service line.</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Logistics revenue decreased 14% to $1.8 billion primarily driven by lower revenue per load in our brokerage service line and lower managed transportation and final mile service line revenue, partially offset by an increase in consolidation and fulfillment revenue. Brokerage volumes were flat compared to the prior year. Logistics operating income was 6% of revenue in both 2023 and 2022. Operating income was $105 million as compared to $126 million last year, as lower revenue was partially offset by lower purchased transportation costs and our yield management initiatives.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operating results and certain items in the consolidated statements of income as a percentage of revenue (in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8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4,202,585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18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5,340,490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97"/>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Purchased transportation and warehousing</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3,145,595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4,036,503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benefits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13.2%</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and claims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4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(6,835 )</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(24,176 )</w:t>
            </w:r>
          </w:p>
        </w:tc>
        <w:tc>
          <w:tcPr>
            <w:tcW w:w="240" w:type="dxa"/>
            <w:vAlign w:val="bottom"/>
          </w:tcPr>
          <w:p>
            <w:pPr>
              <w:spacing w:after="0"/>
              <w:rPr>
                <w:sz w:val="18"/>
                <w:szCs w:val="18"/>
                <w:color w:val="auto"/>
              </w:rPr>
            </w:pPr>
          </w:p>
        </w:tc>
        <w:tc>
          <w:tcPr>
            <w:tcW w:w="9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8"/>
              </w:rPr>
              <w:t>-0.5%</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3,990,354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94.9%</w:t>
            </w:r>
          </w:p>
        </w:tc>
        <w:tc>
          <w:tcPr>
            <w:tcW w:w="36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4,865,769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195"/>
        </w:trPr>
        <w:tc>
          <w:tcPr>
            <w:tcW w:w="4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vMerge w:val="restart"/>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212,231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Borders>
              <w:bottom w:val="single" w:sz="8" w:color="auto"/>
            </w:tcBorders>
          </w:tcPr>
          <w:p>
            <w:pPr>
              <w:spacing w:after="0"/>
              <w:rPr>
                <w:sz w:val="17"/>
                <w:szCs w:val="17"/>
                <w:color w:val="auto"/>
              </w:rPr>
            </w:pPr>
          </w:p>
        </w:tc>
        <w:tc>
          <w:tcPr>
            <w:tcW w:w="12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Transportation and Warehousing</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Purchased transportation and warehousing costs decreased 22% to $3.1 billion in 2023 from $4.0 billion in 2022. As a percentage of revenue, purchased transportation and warehousing costs decreased to 74.8% in 2023 versus 75.6% in 2022 due to cost control initiatives and less third-party drayage usage.</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Purchased transportation and warehousing costs declined as compared to prior year due to lower volumes, reductions in third party carrier costs and decreased use of third-party carriers for drayage in 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Salaries and Benefits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Salaries and benefits increased to $553 million in 2023 from $543 million in 2022. As a percentage of revenue, salaries and benefits increased to 13.2% in 2023 from 10.2% in 2022.</w:t>
      </w:r>
    </w:p>
    <w:p>
      <w:pPr>
        <w:spacing w:after="0" w:line="5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This increase was primarily due to $81 million of incremental expense related to the increase of our average company driver count and warehouse employees. The increase includes a $5 million increase in medical benefits, as well as increased expenses resulting from TAGG, which incurred twelve months of expenses in 2023 as compared to just over seven months of expenses in 2022 and FAFM which was acquired in December 2023. These increases were partially offset by a $71 million reduction in office employee compensation due to lower headcount and lower incentive compensation expense.</w:t>
      </w:r>
    </w:p>
    <w:p>
      <w:pPr>
        <w:spacing w:after="0" w:line="29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Headcount, which includes drivers, warehouse personnel and office employees, was 5,956, which includes 641 employees of FAFM, as of December 31, 2023 and 5,921 as of December 31, 2022. The increase in headcount was due primarily to the acquisition of FAFM partially offset by decreases in both office employees and company drivers.</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to $144 million in 2023 from $132 million in 2022. This increase was primarily due to increased container, tractor and warehouse equipment depreciation expense as well as the amortization of intangibles related to the acquisitions of TAGG and FAFM. This expense, as a percentage of revenue, increased to 3.4% in 2023 from 2.5% in 2022. Depreciation expense includes transportation equipment, technology investments, leasehold improvements, warehouse equipment, office equipment and building improvements.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Claims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Insurance and claims expense decreased to $49 million in 2023 from $58 million in 2022. This decrease was primarily due to less claim expenses related to both auto liability and workers compensation claims in 2023. These expenses, as a percentage of revenue, increased to 1.2% in 2023 from 1.1% in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to $106 million in 2023 from $121 million in 2022. These expenses, as a percentage of revenue, increased to 2.5% in 2023 from 2.2% in 2022.</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expense decrease was primarily due to less impairment of a right-of-use asset and decreases in use tax expense, outside sales commissions, bad debt expense and professional services expense including IT software expense. These decreases were partially offset by higher rent expense, the closing costs related to the FAFM acquisition, higher temporary labor expense as well as increased expenses resulting from TAGG, which incurred twelve months of expenses in 2023 as compared to just over four months of expenses in 2022 and FAFM which was acquired in December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of Assets, Net</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gains on the sale of equipment decreased to $7 million in 2023 from $24 million in 2022. This decrease resulted from both less units sold and a lower average gain per unit sold in 2023 as compared to 2022. We expect gains in 2024 to continue to be lower than prior years due to a softer used tractor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Other Expense decreased to $3 million in 2023 from $7 million in 2022. Interest expense increased to $13 million in 2023 from $7 million in 2022 due primarily to higher interest rates on our debt and higher average debt balances. The expense increase was partially offset by increased interest income of $10 million in 2023 due to higher interest rates on our cash balance and higher cash balances throughout the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provision for income taxes decreased to $42 million in 2023 from $111 million in 2022 due to a decrease in pre-tax income. We provided for income taxes using an effective rate of 19.9% in 2023 and an effective rate of 23.7% in 2022. The lower effective tax rate in 2023 resulted primarily from a change in state apportionment methodology.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financing and liquidity strategy is to fund operating cash payments and future dividends through cash received from the provision of services, cash on hand, and to a lesser extent, from cash received from the sale of equipment. As of December 31, 2024, we had $98 million of cash and cash equivalents. We also had $29 million of restricted cash and $22 million of restricted investments which are held for payments of long-term liabilities. We generally fund our purchases of transportation equipment through the issuance of secured, fixed rate Equipment Notes. In prior years, we have funded our business acquisitions from cash on hand. Our investment agreement with EASO in October 2024 is consistent with this approach. Payments for our other investing activities, such as the construction of our office buildings and our capitalized technology investments, have been funded by cash on hand or cash flows from operations. Cash used in financing activities including the purchase of treasury stock and dividend payments have been funded by cash from operations or cash on hand. We have not historically used our Credit Facility to fund our operating, investing, or financing cash needs, though it is available to fund future cash requirements as needed. Based on past performance and current expectations, we believe cash on hand and cash received from the provision of services, along with other financing sources, will provide us the necessary capital to fund transactions and achieve our planned growth for the next twelve months and the foreseeable future.</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2024 was approximately $194 million, which resulted from non-cash charges of $196 million and income of $104 million, partially offset by changes in operating assets and liabilities of $106 million.</w:t>
      </w:r>
    </w:p>
    <w:p>
      <w:pPr>
        <w:spacing w:after="0" w:line="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$194 million in 2024 compared to $422 million in 2023. The $228 million decrease in cash flow was primarily due to a decrease in the change in assets and liabilities of $150 million, a decrease in net income of $64 million and a decrease in non-cash charges of $14 million.</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$53 million which included capital expenditures of $51 million and net cash used in acquisitions of $14 million, partially offset by proceeds from the sale of equipment of $12 million. Capital expenditures of $51 million related primarily to technology investments of $19 million, tractor purchases of $16 million, warehouse equipment of $9 million and the remainder for other transportation equipment.</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Capital expenditures decreased by approximately $89 million in 2024 as compared to 2023. The 2024 decrease was due to decreases in tractor purchases of $54 million, container purchases of $39 million, warehouse purchases of $3 million and the remainder related to leasehold improvements. These decreases were partially offset by increased technology investments of $5 million and increased purchases of other transportation equipment of $4 million.</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2025, we estimate capital expenditures will range from $50 million to $70 million. We expect transportation equipment purchases to range from $25 million to $45 million, technology investments of approximately $25 million as well as warehouse equipment and other expenditures. We plan to fund these expenditures with a combination of cash and debt.</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$201 million which includes cash used for the repayments of long-term debt of $107 million, purchase of treasury stock of $68 million, dividends paid of $30 million, cash used for stock tendered for payments of withholding taxes of $11 million, finance lease payments of $2 million and a distribution to non-controlling interest holders of $1 million, partially offset by proceeds from the issuance of debt of $18 million. Our debt balance decreased by $86 million during 2024. Debt incurred in 2024 was used to fund the purchase of transportation equipment.</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$53 million increase in cash used in financing activities for 2024 versus 2023 was primarily due to an increase in dividends paid of $30 million, increases in repayments of long-term debt, distributions to non-controlling interests and cash paid for stock related to employee withholding taxes of $1 million each and a decrease in proceeds from the issuance of debt of $96 million, partially offset by a decrease in the purchase of treasury stock of $75 million.</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2024, cash paid for income taxes was $44 million, of which $34 million related to 2024 and $10 million related to 2023. The $34 million of cash paid for income taxes related to 2024 was more than the 2024 income tax expense of $29 million. This difference is a result of unfavorable book to tax differences, primarily those related to depreciation, which caused 2024 taxable income to be more than 2024 financial statement income before taxes. We expect our cash payments for income taxes in 2025 to exceed our income tax expense.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10 of the consolidated financial statements for details related to interest rates and commitment fees.</w:t>
      </w:r>
    </w:p>
    <w:p>
      <w:pPr>
        <w:spacing w:after="0" w:line="22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have standby letters of credit that expire in 2025. Our letters of credit were $1 million as of both December 31, 2024 and December 31, 2023, respectively.</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we had no borrowings under our respective credit agreements. Our unused and available borrowings were $349 million as of both December 31, 2024 and December 31, 2023, respectively. We were in compliance with the financial covenants in our credit agreements as of December 31, 2024 and December 31, 2023.</w:t>
      </w:r>
    </w:p>
    <w:p>
      <w:pPr>
        <w:spacing w:after="0" w:line="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Aggregated information about our obligations and commitments to make future contractual payments such as debt and lease obligations as of December 31, 2024 is presented in the following table (in thousands).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Payments Due:</w:t>
      </w:r>
    </w:p>
    <w:p>
      <w:pPr>
        <w:spacing w:after="0" w:line="200" w:lineRule="exact"/>
        <w:rPr>
          <w:sz w:val="20"/>
          <w:szCs w:val="20"/>
          <w:color w:val="auto"/>
        </w:rPr>
      </w:pPr>
    </w:p>
    <w:p>
      <w:pPr>
        <w:spacing w:after="0" w:line="369"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15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3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16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5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Debt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on Debt</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16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rPr>
              <w:t>Year 1</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58,769</w:t>
            </w:r>
          </w:p>
        </w:tc>
        <w:tc>
          <w:tcPr>
            <w:tcW w:w="360" w:type="dxa"/>
            <w:vAlign w:val="bottom"/>
          </w:tcPr>
          <w:p>
            <w:pPr>
              <w:spacing w:after="0"/>
              <w:rPr>
                <w:sz w:val="16"/>
                <w:szCs w:val="16"/>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360" w:type="dxa"/>
            <w:vAlign w:val="bottom"/>
          </w:tcPr>
          <w:p>
            <w:pPr>
              <w:spacing w:after="0"/>
              <w:rPr>
                <w:sz w:val="16"/>
                <w:szCs w:val="16"/>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100,001</w:t>
            </w:r>
          </w:p>
        </w:tc>
        <w:tc>
          <w:tcPr>
            <w:tcW w:w="34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34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169,891</w:t>
            </w:r>
          </w:p>
        </w:tc>
      </w:tr>
      <w:tr>
        <w:trPr>
          <w:trHeight w:val="203"/>
        </w:trPr>
        <w:tc>
          <w:tcPr>
            <w:tcW w:w="16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rPr>
              <w:t>Year 2</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55,418</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147,127</w:t>
            </w:r>
          </w:p>
        </w:tc>
      </w:tr>
      <w:tr>
        <w:trPr>
          <w:trHeight w:val="203"/>
        </w:trPr>
        <w:tc>
          <w:tcPr>
            <w:tcW w:w="16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rPr>
              <w:t>Year 3</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47,061</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105,776</w:t>
            </w:r>
          </w:p>
        </w:tc>
      </w:tr>
      <w:tr>
        <w:trPr>
          <w:trHeight w:val="203"/>
        </w:trPr>
        <w:tc>
          <w:tcPr>
            <w:tcW w:w="16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rPr>
              <w:t>Year 4</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39,991</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63,272</w:t>
            </w:r>
          </w:p>
        </w:tc>
      </w:tr>
      <w:tr>
        <w:trPr>
          <w:trHeight w:val="203"/>
        </w:trPr>
        <w:tc>
          <w:tcPr>
            <w:tcW w:w="16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rPr>
              <w:t>Year 5</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35,804</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37,315</w:t>
            </w:r>
          </w:p>
        </w:tc>
      </w:tr>
      <w:tr>
        <w:trPr>
          <w:trHeight w:val="210"/>
        </w:trPr>
        <w:tc>
          <w:tcPr>
            <w:tcW w:w="16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50,132</w:t>
            </w:r>
          </w:p>
        </w:tc>
        <w:tc>
          <w:tcPr>
            <w:tcW w:w="3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50,132</w:t>
            </w:r>
          </w:p>
        </w:tc>
      </w:tr>
      <w:tr>
        <w:trPr>
          <w:trHeight w:val="202"/>
        </w:trPr>
        <w:tc>
          <w:tcPr>
            <w:tcW w:w="16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287,175</w:t>
            </w:r>
          </w:p>
        </w:tc>
        <w:tc>
          <w:tcPr>
            <w:tcW w:w="360" w:type="dxa"/>
            <w:vAlign w:val="bottom"/>
          </w:tcPr>
          <w:p>
            <w:pPr>
              <w:spacing w:after="0"/>
              <w:rPr>
                <w:sz w:val="17"/>
                <w:szCs w:val="17"/>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36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264,362</w:t>
            </w: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20,952</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573,513</w:t>
            </w:r>
          </w:p>
        </w:tc>
      </w:tr>
      <w:tr>
        <w:trPr>
          <w:trHeight w:val="20"/>
        </w:trPr>
        <w:tc>
          <w:tcPr>
            <w:tcW w:w="1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 of February 18, 2025, we signed various operating leases which had not commenced as of December 31, 2024. Based on the present value of the lease payments, the estimated right-of-use (“ROU”) assets and lease liabilities related to these contracts will total approximately $2.7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Under our Non-qualified Deferred Compensation Plan (the “Plan”), participants can elect to defer certain compensation. Payments under the Plan are due as follows (in thousands):</w:t>
      </w:r>
    </w:p>
    <w:p>
      <w:pPr>
        <w:spacing w:after="0" w:line="166" w:lineRule="exact"/>
        <w:rPr>
          <w:sz w:val="20"/>
          <w:szCs w:val="20"/>
          <w:color w:val="auto"/>
        </w:rPr>
      </w:pPr>
    </w:p>
    <w:tbl>
      <w:tblPr>
        <w:tblLayout w:type="fixed"/>
        <w:tblInd w:w="4480" w:type="dxa"/>
        <w:tblCellMar>
          <w:top w:w="0" w:type="dxa"/>
          <w:left w:w="0" w:type="dxa"/>
          <w:bottom w:w="0" w:type="dxa"/>
          <w:right w:w="0" w:type="dxa"/>
        </w:tblCellMar>
      </w:tblPr>
      <w:tr>
        <w:trPr>
          <w:trHeight w:val="203"/>
        </w:trPr>
        <w:tc>
          <w:tcPr>
            <w:tcW w:w="126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Year 1</w:t>
            </w: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w:t>
            </w:r>
          </w:p>
        </w:tc>
      </w:tr>
      <w:tr>
        <w:trPr>
          <w:trHeight w:val="203"/>
        </w:trPr>
        <w:tc>
          <w:tcPr>
            <w:tcW w:w="126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Year 2</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r>
      <w:tr>
        <w:trPr>
          <w:trHeight w:val="203"/>
        </w:trPr>
        <w:tc>
          <w:tcPr>
            <w:tcW w:w="126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Year 3</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r>
      <w:tr>
        <w:trPr>
          <w:trHeight w:val="203"/>
        </w:trPr>
        <w:tc>
          <w:tcPr>
            <w:tcW w:w="126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Year 4</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03"/>
        </w:trPr>
        <w:tc>
          <w:tcPr>
            <w:tcW w:w="126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Year 5</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13"/>
        </w:trPr>
        <w:tc>
          <w:tcPr>
            <w:tcW w:w="1260" w:type="dxa"/>
            <w:vAlign w:val="bottom"/>
          </w:tcPr>
          <w:p>
            <w:pPr>
              <w:jc w:val="center"/>
              <w:ind w:right="519"/>
              <w:spacing w:after="0"/>
              <w:rPr>
                <w:sz w:val="20"/>
                <w:szCs w:val="20"/>
                <w:color w:val="auto"/>
              </w:rPr>
            </w:pPr>
            <w:r>
              <w:rPr>
                <w:rFonts w:ascii="Times New Roman" w:cs="Times New Roman" w:eastAsia="Times New Roman" w:hAnsi="Times New Roman"/>
                <w:sz w:val="16"/>
                <w:szCs w:val="16"/>
                <w:color w:val="auto"/>
                <w:w w:val="98"/>
              </w:rPr>
              <w:t>Thereafter</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11,826</w:t>
            </w:r>
          </w:p>
        </w:tc>
      </w:tr>
      <w:tr>
        <w:trPr>
          <w:trHeight w:val="199"/>
        </w:trPr>
        <w:tc>
          <w:tcPr>
            <w:tcW w:w="1260" w:type="dxa"/>
            <w:vAlign w:val="bottom"/>
          </w:tcPr>
          <w:p>
            <w:pPr>
              <w:spacing w:after="0"/>
              <w:rPr>
                <w:sz w:val="17"/>
                <w:szCs w:val="17"/>
                <w:color w:val="auto"/>
              </w:rPr>
            </w:pPr>
          </w:p>
        </w:tc>
        <w:tc>
          <w:tcPr>
            <w:tcW w:w="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21,390</w:t>
            </w:r>
          </w:p>
        </w:tc>
      </w:tr>
      <w:tr>
        <w:trPr>
          <w:trHeight w:val="20"/>
        </w:trPr>
        <w:tc>
          <w:tcPr>
            <w:tcW w:w="1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above future payments are fully funded by our restricted investments comprised of mutual funds and other security instruments as noted in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In certain circumstances, those estimates and assumptions can affect amounts reported in the accompanying Consolidated Financial Statements. We have made our best estimates and judgments of certain amounts included in the financial statements, giving due consideration to materiality. We do not believe there is a great likelihood that materially different amounts would be reported related to the accounting policies described below. However, application of these accounting policies involves the exercise of judgment and use of assumptions as to future uncertainties and, as a result, actual results could differ from these estimates. The following is a brief discussion of the more significant accounting policies and estimates. These critical accounting policies are further discussed in Note 1 of the consolidated financial statements, which describes these and our other significant accounting policies.</w:t>
      </w:r>
    </w:p>
    <w:p>
      <w:pPr>
        <w:spacing w:after="0" w:line="1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accordance with the Accounting Standards Codification (ASC) topic 606, “Revenue from Contracts with Customers,” our significant accounting policy for revenue is as follows:</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Revenue is recognized when we transfer services to our customers in an amount that reflects the consideration we expect to receive. We account for a contract when it has approval and commitment from both parties, the rights of the parties are identified, payment terms are identified, the contract has commercial substance and collectability of consideration is probable. We generally recognize revenue over time because of continuous transfer of control to the customer. Since control is transferred over time, revenue and related transportation costs are recognized based on relative transit time, which is based on the extent of progress towards completion of the related performance obligation. We enter into contracts that can include various combinations of services, which are capable of being distinct and accounted for as separate performance obligations. Taxes assessed by a governmental authority that are both imposed on and concurrent with a specific revenue-producing transaction, that are collected by us from a customer, are excluded from revenue. Further, in most cases, we report our revenue on a gross basis because we are the primary obligor as we are responsible for providing the service desired by the customer. Our customers view us as responsible for fulfillment including the acceptability of the service. Service requirements may include, for example, on-time delivery, handling freight loss and damage claims, setting appointments for pick-up and delivery and tracing shipments in transit. We have discretion in setting prices for our services and as a result, the amount we earn varies. In addition, we have the discretion to select our vendors from multiple suppliers for the services ordered by our customers. Due to these factors, we report revenue on a gross basis for most of our revenue.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Uncollectible Trade Accounts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extend credit to customers after a review of each customer’s credit profile and history. An allowance for uncollectible trade accounts has been established through an analysis of the accounts receivable aging, an assessment of collectability based on historical trends and an evaluation based on current economic conditions. Annually we review, in hindsight, the percentage of receivables that are collected that aged over one year, those that are not one year old and the accounts that went into bankruptcy. We reserve for accounts less than one year old based on specifically identified uncollectible balances and our historic collection percentage, including receivable adjustments charged through revenue for items such as billing disputes. In establishing a reserve for certain account balances specifically identified as uncollectible, we consider the aging of the customer receivables, the specific details as to why the receivable has not been paid, the customer’s current and projected financial results, the customer’s ability to meet and sustain its financial commitments, the positive or negative effects of the current and projected industry outlook and the general economic conditions. Our historical collection percentage has been over 98% on average for receivables that are less than one year old. Changes in our historical collection percentages of receivables that are less than one year old either positively or negatively, based on our collection history, would affect our calculated allowance for uncollectible trade accounts.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Once a receivable ages over one year, our collection percentage is much lower, thus a separate allowance is calculated for open receivables that have aged over one year. We also review our collection percentage after a customer has gone into bankruptcy. Although these collection percentages may change both negatively and positively, since only a small portion of our receivables are aged over one year or are involved in a bankruptcy case, a large change in either of those collection percentages would not have a material impact on our financial statements. Our level of reserves for customer accounts receivable fluctuates depending upon all the factors mentioned above. Historically, our reserve for uncollectible accounts has approximated actual accounts written off and we do not expect the reserve for uncollectible accounts to change significantly relative to our accounts receivable balance. The allowance for uncollectible accounts is reported on the balance sheet in net accounts receivable. Recoveries of receivables previously charged off are recorded when received.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Accruals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purchase insurance coverage for a portion of expenses related to employee injuries, vehicular collisions, accidents, and cargo damage. Certain insurance arrangements include high SIR limits or deductibles applicable to each claim. We have umbrella policies to limit our exposure above these SIR limits and deductibles.</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claims accrual policy for all self-insured claims is to recognize a liability at the time of the incident based on our analysis of the nature and severity of the claims and analyses provided by third-party claims administrators, as well as legal and regulatory factors. Our safety and claims personnel work directly with representatives from the insurance companies and third-party administrators to continually update the estimated cost of each claim. The ultimate cost of a claim develops over time as additional information regarding the nature, timing, and extent of damages claimed becomes available. Accordingly, we use actuarial methods to develop current claim information to derive an estimate of our ultimate claim liability. This process involves the use of loss-development factors based on our historical claims experience. In doing so, the recorded liability considers future claims growth and provides an allowance for incurred-but-not-reported claims. Changes in loss development factors caused by differences between the estimates of future medical costs, future severity trend factors and future legal costs could materially change our recorded claim accrual liability. Our claim accrual liability is classified as either current or non-current in the consolidated balance sheet based on an estimate of when the claims are expected to be paid. We do not discount our estimated losses. In addition, we record receivables for amounts expected to be reimbursed for payments made in excess of self-insurance levels on covered claims.</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related to changes in interest rates. We maintain a bank line of credit and have both fixed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rate debt as described in Note 10 to the consolidated financial statements. Any material increase in market interest rates would not have a material impact on the results of operations for the year ended December 31, 2024.</w:t>
      </w:r>
    </w:p>
    <w:p>
      <w:pPr>
        <w:spacing w:after="0" w:line="6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fluctuations in foreign currency exchange rates, primarily with respect to the Mexican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Peso, which may affect our net investment in foreign subsidiaries and may cause fluctuations in cash flows related to foreign denominated transactions. We are also exposed to the translation of foreign currency earnings to the U.S. dollar. To date, we have not entered into any foreign currency forward exchange contracts or other derivative financial instruments to hedge the effects of adverse fluctuations in foreign currency exchange rates. We do not use financial instruments for trading purposes.</w:t>
      </w:r>
    </w:p>
    <w:p>
      <w:pPr>
        <w:spacing w:after="0" w:line="7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hypothetical 10% change in the value of the U.S. dollar in relation to the Mexican Peso would have had an impact of approximately $2 million on our 2024 operating revenue. This amount is not indicative of the hypothetical net income impact due to partially offsetting impacts on operating expenses in those currencies. A hypothetical 10% change in the value of the U.S. dollar in relation to the Mexican Peso would have had an impact of approximately $10 million on our consolidated foreign net assets as of December 31, 2024.</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60" w:type="dxa"/>
            <w:vAlign w:val="bottom"/>
          </w:tcPr>
          <w:p>
            <w:pPr>
              <w:spacing w:after="0"/>
              <w:rPr>
                <w:sz w:val="20"/>
                <w:szCs w:val="20"/>
                <w:color w:val="auto"/>
              </w:rPr>
            </w:pPr>
          </w:p>
        </w:tc>
      </w:tr>
      <w:tr>
        <w:trPr>
          <w:trHeight w:val="635"/>
        </w:trPr>
        <w:tc>
          <w:tcPr>
            <w:tcW w:w="20" w:type="dxa"/>
            <w:vAlign w:val="bottom"/>
          </w:tcPr>
          <w:p>
            <w:pPr>
              <w:spacing w:after="0"/>
              <w:rPr>
                <w:sz w:val="24"/>
                <w:szCs w:val="24"/>
                <w:color w:val="auto"/>
              </w:rPr>
            </w:pPr>
          </w:p>
        </w:tc>
        <w:tc>
          <w:tcPr>
            <w:tcW w:w="10240" w:type="dxa"/>
            <w:vAlign w:val="bottom"/>
            <w:gridSpan w:val="8"/>
          </w:tcPr>
          <w:p>
            <w:pPr>
              <w:ind w:left="2120"/>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w:t>
            </w:r>
          </w:p>
        </w:tc>
        <w:tc>
          <w:tcPr>
            <w:tcW w:w="960" w:type="dxa"/>
            <w:vAlign w:val="bottom"/>
          </w:tcPr>
          <w:p>
            <w:pPr>
              <w:spacing w:after="0"/>
              <w:rPr>
                <w:sz w:val="24"/>
                <w:szCs w:val="24"/>
                <w:color w:val="auto"/>
              </w:rPr>
            </w:pPr>
          </w:p>
        </w:tc>
      </w:tr>
      <w:tr>
        <w:trPr>
          <w:trHeight w:val="621"/>
        </w:trPr>
        <w:tc>
          <w:tcPr>
            <w:tcW w:w="20" w:type="dxa"/>
            <w:vAlign w:val="bottom"/>
          </w:tcPr>
          <w:p>
            <w:pPr>
              <w:spacing w:after="0"/>
              <w:rPr>
                <w:sz w:val="24"/>
                <w:szCs w:val="24"/>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20" w:type="dxa"/>
            <w:vAlign w:val="bottom"/>
          </w:tcPr>
          <w:p>
            <w:pPr>
              <w:spacing w:after="0"/>
              <w:rPr>
                <w:sz w:val="24"/>
                <w:szCs w:val="24"/>
                <w:color w:val="auto"/>
              </w:rPr>
            </w:pPr>
          </w:p>
        </w:tc>
        <w:tc>
          <w:tcPr>
            <w:tcW w:w="5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 December 31, 2024 and December 31, 2023</w:t>
            </w:r>
          </w:p>
        </w:tc>
        <w:tc>
          <w:tcPr>
            <w:tcW w:w="482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20" w:type="dxa"/>
            <w:vAlign w:val="bottom"/>
          </w:tcPr>
          <w:p>
            <w:pPr>
              <w:spacing w:after="0"/>
              <w:rPr>
                <w:sz w:val="24"/>
                <w:szCs w:val="24"/>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 Years ended December 31, 2024, December 31, 2023 and December 31, 2022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Years ended December 31, 2024, December 31, 2023 and December 31, 2022</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20" w:type="dxa"/>
            <w:vAlign w:val="bottom"/>
          </w:tcPr>
          <w:p>
            <w:pPr>
              <w:spacing w:after="0"/>
              <w:rPr>
                <w:sz w:val="24"/>
                <w:szCs w:val="24"/>
                <w:color w:val="auto"/>
              </w:rPr>
            </w:pPr>
          </w:p>
        </w:tc>
        <w:tc>
          <w:tcPr>
            <w:tcW w:w="9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 Years ended December 31, 2024, December 31, 2023 and December 31, 2022</w:t>
            </w:r>
          </w:p>
        </w:tc>
        <w:tc>
          <w:tcPr>
            <w:tcW w:w="88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20" w:type="dxa"/>
            <w:vAlign w:val="bottom"/>
          </w:tcPr>
          <w:p>
            <w:pPr>
              <w:spacing w:after="0"/>
              <w:rPr>
                <w:sz w:val="24"/>
                <w:szCs w:val="24"/>
                <w:color w:val="auto"/>
              </w:rPr>
            </w:pPr>
          </w:p>
        </w:tc>
        <w:tc>
          <w:tcPr>
            <w:tcW w:w="8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Years ended December 31, 2024, December 31, 2023 and December 31, 2022</w:t>
            </w:r>
          </w:p>
        </w:tc>
        <w:tc>
          <w:tcPr>
            <w:tcW w:w="15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8"/>
        </w:trPr>
        <w:tc>
          <w:tcPr>
            <w:tcW w:w="20" w:type="dxa"/>
            <w:vAlign w:val="bottom"/>
          </w:tcPr>
          <w:p>
            <w:pPr>
              <w:spacing w:after="0"/>
              <w:rPr>
                <w:sz w:val="24"/>
                <w:szCs w:val="24"/>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3" w:name="page34"/>
    <w:bookmarkEnd w:id="33"/>
    <w:p>
      <w:pPr>
        <w:ind w:right="2840" w:firstLine="2839"/>
        <w:spacing w:after="0" w:line="484" w:lineRule="auto"/>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To the Stockholders and the Board of Directors of Hub Group, Inc. Opinion on the Financial Statements</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Hub Group, Inc. (the Company) as of December 31, 2024 and 2023, the related consolidated statements of income, comprehensive income, stockholders' equity and cash flows for each of the three years in the period ended December 31, 2024, and the related notes and financial statement schedule listed in the Index at Item 15(b)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29" w:lineRule="exact"/>
        <w:rPr>
          <w:sz w:val="20"/>
          <w:szCs w:val="20"/>
          <w:color w:val="auto"/>
        </w:rPr>
      </w:pPr>
    </w:p>
    <w:p>
      <w:pPr>
        <w:jc w:val="both"/>
        <w:ind w:right="300"/>
        <w:spacing w:after="0" w:line="27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2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i w:val="1"/>
          <w:iCs w:val="1"/>
          <w:color w:val="auto"/>
        </w:rPr>
        <w:t>Claims Accruals</w:t>
      </w:r>
    </w:p>
    <w:p>
      <w:pPr>
        <w:spacing w:after="0" w:line="30" w:lineRule="exact"/>
        <w:rPr>
          <w:sz w:val="20"/>
          <w:szCs w:val="20"/>
          <w:color w:val="auto"/>
        </w:rPr>
      </w:pPr>
    </w:p>
    <w:p>
      <w:pPr>
        <w:ind w:left="120"/>
        <w:spacing w:after="0"/>
        <w:tabs>
          <w:tab w:leader="none" w:pos="1700" w:val="left"/>
        </w:tabs>
        <w:rPr>
          <w:sz w:val="20"/>
          <w:szCs w:val="20"/>
          <w:color w:val="auto"/>
        </w:rPr>
      </w:pPr>
      <w:r>
        <w:rPr>
          <w:rFonts w:ascii="Times New Roman" w:cs="Times New Roman" w:eastAsia="Times New Roman" w:hAnsi="Times New Roman"/>
          <w:sz w:val="16"/>
          <w:szCs w:val="16"/>
          <w:i w:val="1"/>
          <w:iCs w:val="1"/>
          <w:color w:val="auto"/>
        </w:rPr>
        <w:t>Description of the</w:t>
      </w:r>
      <w:r>
        <w:rPr>
          <w:sz w:val="20"/>
          <w:szCs w:val="20"/>
          <w:color w:val="auto"/>
        </w:rPr>
        <w:tab/>
      </w:r>
      <w:r>
        <w:rPr>
          <w:rFonts w:ascii="Times New Roman" w:cs="Times New Roman" w:eastAsia="Times New Roman" w:hAnsi="Times New Roman"/>
          <w:sz w:val="16"/>
          <w:szCs w:val="16"/>
          <w:color w:val="auto"/>
        </w:rPr>
        <w:t>At December 31, 2024, the Company’s aggregate accrued liability related to auto and workers’ compensation claims, inclusive of amounts</w:t>
      </w:r>
    </w:p>
    <w:p>
      <w:pPr>
        <w:spacing w:after="0" w:line="19" w:lineRule="exact"/>
        <w:rPr>
          <w:sz w:val="20"/>
          <w:szCs w:val="20"/>
          <w:color w:val="auto"/>
        </w:rPr>
      </w:pPr>
    </w:p>
    <w:p>
      <w:pPr>
        <w:jc w:val="both"/>
        <w:ind w:left="1720" w:right="100" w:hanging="1599"/>
        <w:spacing w:after="0" w:line="276" w:lineRule="auto"/>
        <w:tabs>
          <w:tab w:leader="none" w:pos="1700" w:val="left"/>
        </w:tabs>
        <w:rPr>
          <w:sz w:val="20"/>
          <w:szCs w:val="20"/>
          <w:color w:val="auto"/>
        </w:rPr>
      </w:pPr>
      <w:r>
        <w:rPr>
          <w:rFonts w:ascii="Times New Roman" w:cs="Times New Roman" w:eastAsia="Times New Roman" w:hAnsi="Times New Roman"/>
          <w:sz w:val="16"/>
          <w:szCs w:val="16"/>
          <w:i w:val="1"/>
          <w:iCs w:val="1"/>
          <w:color w:val="auto"/>
        </w:rPr>
        <w:t>Matter</w:t>
      </w:r>
      <w:r>
        <w:rPr>
          <w:sz w:val="20"/>
          <w:szCs w:val="20"/>
          <w:color w:val="auto"/>
        </w:rPr>
        <w:tab/>
      </w:r>
      <w:r>
        <w:rPr>
          <w:rFonts w:ascii="Times New Roman" w:cs="Times New Roman" w:eastAsia="Times New Roman" w:hAnsi="Times New Roman"/>
          <w:sz w:val="16"/>
          <w:szCs w:val="16"/>
          <w:color w:val="auto"/>
        </w:rPr>
        <w:t>expected to be paid above its self-insured retention limits, was $38.5 million. As explained in Note 1 of the consolidated financial statements, the Company recognizes a liability at the time of an incident based upon the nature and severity of the claim and analyses provided by third-party claims administrators. The Company utilizes actuarial methods to estimate this liability.</w:t>
      </w:r>
    </w:p>
    <w:p>
      <w:pPr>
        <w:spacing w:after="0" w:line="167" w:lineRule="exact"/>
        <w:rPr>
          <w:sz w:val="20"/>
          <w:szCs w:val="20"/>
          <w:color w:val="auto"/>
        </w:rPr>
      </w:pPr>
    </w:p>
    <w:p>
      <w:pPr>
        <w:jc w:val="both"/>
        <w:ind w:left="1720" w:right="100"/>
        <w:spacing w:after="0" w:line="275" w:lineRule="auto"/>
        <w:rPr>
          <w:sz w:val="20"/>
          <w:szCs w:val="20"/>
          <w:color w:val="auto"/>
        </w:rPr>
      </w:pPr>
      <w:r>
        <w:rPr>
          <w:rFonts w:ascii="Times New Roman" w:cs="Times New Roman" w:eastAsia="Times New Roman" w:hAnsi="Times New Roman"/>
          <w:sz w:val="16"/>
          <w:szCs w:val="16"/>
          <w:color w:val="auto"/>
        </w:rPr>
        <w:t>Auditing the Company's claims accruals is complex due to the uncertainty associated with the claims, the application of significant management judgment, and the use of actuarial methods. In addition, the estimate of the accrual can fluctuate based on the assumptions used in the actuarial studies, including the frequency and severity of claims, the loss development factors for existing claims and the estimates of incurred but not reported claims. These assumptions have a significant effect on the claims accruals.</w:t>
      </w:r>
    </w:p>
    <w:p>
      <w:pPr>
        <w:sectPr>
          <w:pgSz w:w="11900" w:h="16838" w:orient="portrait"/>
          <w:cols w:equalWidth="0" w:num="1">
            <w:col w:w="11240"/>
          </w:cols>
          <w:pgMar w:left="320" w:top="1204" w:right="339" w:bottom="1440" w:gutter="0" w:footer="0" w:header="0"/>
        </w:sectPr>
      </w:pPr>
    </w:p>
    <w:p>
      <w:pPr>
        <w:spacing w:after="0" w:line="2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internal controls over the claims accrual process. For example, we tested the controls over management’s assessment of the assumptions and underlying data used in the determination of the measurement and valuation of the reserve.</w:t>
      </w:r>
    </w:p>
    <w:p>
      <w:pPr>
        <w:spacing w:after="0" w:line="69" w:lineRule="exact"/>
        <w:rPr>
          <w:sz w:val="20"/>
          <w:szCs w:val="20"/>
          <w:color w:val="auto"/>
        </w:rPr>
      </w:pPr>
    </w:p>
    <w:p>
      <w:pPr>
        <w:sectPr>
          <w:pgSz w:w="11900" w:h="16838" w:orient="portrait"/>
          <w:cols w:equalWidth="0" w:num="2">
            <w:col w:w="1380" w:space="340"/>
            <w:col w:w="9520"/>
          </w:cols>
          <w:pgMar w:left="320" w:top="1204" w:right="339" w:bottom="1440" w:gutter="0" w:footer="0" w:header="0"/>
          <w:type w:val="continuous"/>
        </w:sectPr>
      </w:pPr>
    </w:p>
    <w:p>
      <w:pPr>
        <w:jc w:val="both"/>
        <w:ind w:left="1720" w:right="160"/>
        <w:spacing w:after="0" w:line="275" w:lineRule="auto"/>
        <w:rPr>
          <w:sz w:val="20"/>
          <w:szCs w:val="20"/>
          <w:color w:val="auto"/>
        </w:rPr>
      </w:pPr>
      <w:r>
        <w:rPr>
          <w:rFonts w:ascii="Times New Roman" w:cs="Times New Roman" w:eastAsia="Times New Roman" w:hAnsi="Times New Roman"/>
          <w:sz w:val="16"/>
          <w:szCs w:val="16"/>
          <w:color w:val="auto"/>
        </w:rPr>
        <w:t>To evaluate the claims accruals, our audit procedures included, among others, testing the completeness and accuracy of the underlying claims data. Furthermore, we involved our actuarial specialist to assist in our evaluation of the methodologies applied and significant assumptions used by the Company in determining the calculated liability. We then compared the Company’s recorded liability amount to a range which our actuarial specialist developed based on independently selected assumptions.</w:t>
      </w:r>
    </w:p>
    <w:p>
      <w:pPr>
        <w:sectPr>
          <w:pgSz w:w="11900" w:h="16838" w:orient="portrait"/>
          <w:cols w:equalWidth="0" w:num="1">
            <w:col w:w="11240"/>
          </w:cols>
          <w:pgMar w:left="320" w:top="1204"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2025</w:t>
      </w:r>
    </w:p>
    <w:p>
      <w:pPr>
        <w:spacing w:after="0" w:line="1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HUB GROUP,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ASSETS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3"/>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3"/>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ASSETS: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98,248</w:t>
            </w:r>
          </w:p>
        </w:tc>
        <w:tc>
          <w:tcPr>
            <w:tcW w:w="28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187,270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Restricted cash</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28,700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receivable trade, net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581,516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600,197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receivable other</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Prepaid taxes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15,115</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33,870</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768,329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849,245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Restricted investments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21,642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739,896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791,692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Right-of-use assets - operating leases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233,651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210,742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Right-of-use assets - financing leases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intangibles, net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267,357</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Goodwill</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814,309</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733,695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non-current assets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22,097</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480" w:type="dxa"/>
            <w:vAlign w:val="bottom"/>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300" w:type="dxa"/>
            <w:vAlign w:val="bottom"/>
            <w:tcBorders>
              <w:bottom w:val="single" w:sz="8" w:color="auto"/>
            </w:tcBorders>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2,868,343</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2,936,047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LIABILITIES: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payable trade</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279,982</w:t>
            </w:r>
          </w:p>
        </w:tc>
        <w:tc>
          <w:tcPr>
            <w:tcW w:w="28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349,378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payable other</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29,069</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Accrued payroll</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32,833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Accrued other</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91,441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Lease liability - operating leases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45,492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Lease liability - financing leases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4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100,001</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105,108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579,481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658,210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Deferred consideration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30,639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164,361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245,574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51,004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liability - operating leases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197,664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177,699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liability - financing leases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Deferred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Preferred stock, $.01 par value; 2,000,000 shares authorized; no shares issued or outstanding in 2024 and 2023.</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Class A: $.01 par value; 97,337,700 shares authorized; 72,303,228 shares issued in 2024 and 75,524,189 shares issued in 2023;</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60,746,745 shares outstanding in 2024 and 62,200,921 shares outstanding in 2023.</w:t>
            </w:r>
          </w:p>
        </w:tc>
        <w:tc>
          <w:tcPr>
            <w:tcW w:w="30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Class B: $.01 par value; 662,300 shares authorized; 574,903 shares issued and outstanding in 2024 and 2023.</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222,039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2,022,265</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1,949,110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(1,453 )</w:t>
            </w:r>
          </w:p>
        </w:tc>
        <w:tc>
          <w:tcPr>
            <w:tcW w:w="2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(129 )</w:t>
            </w:r>
          </w:p>
        </w:tc>
        <w:tc>
          <w:tcPr>
            <w:tcW w:w="0" w:type="dxa"/>
            <w:vAlign w:val="bottom"/>
          </w:tcPr>
          <w:p>
            <w:pPr>
              <w:spacing w:after="0"/>
              <w:rPr>
                <w:sz w:val="1"/>
                <w:szCs w:val="1"/>
                <w:color w:val="auto"/>
              </w:rPr>
            </w:pPr>
          </w:p>
        </w:tc>
      </w:tr>
      <w:tr>
        <w:trPr>
          <w:trHeight w:val="179"/>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Treasury stock; at cost, 11,556,483 shares in 2024 and 13,323,268 shares in 2023.</w:t>
            </w:r>
          </w:p>
        </w:tc>
        <w:tc>
          <w:tcPr>
            <w:tcW w:w="3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(598,583 )</w:t>
            </w:r>
          </w:p>
        </w:tc>
        <w:tc>
          <w:tcPr>
            <w:tcW w:w="2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(524,927 )</w:t>
            </w:r>
          </w:p>
        </w:tc>
        <w:tc>
          <w:tcPr>
            <w:tcW w:w="0" w:type="dxa"/>
            <w:vAlign w:val="bottom"/>
          </w:tcPr>
          <w:p>
            <w:pPr>
              <w:spacing w:after="0"/>
              <w:rPr>
                <w:sz w:val="1"/>
                <w:szCs w:val="1"/>
                <w:color w:val="auto"/>
              </w:rPr>
            </w:pPr>
          </w:p>
        </w:tc>
      </w:tr>
      <w:tr>
        <w:trPr>
          <w:trHeight w:val="152"/>
        </w:trPr>
        <w:tc>
          <w:tcPr>
            <w:tcW w:w="8480" w:type="dxa"/>
            <w:vAlign w:val="bottom"/>
          </w:tcPr>
          <w:p>
            <w:pPr>
              <w:ind w:left="180"/>
              <w:spacing w:after="0" w:line="152" w:lineRule="exact"/>
              <w:rPr>
                <w:sz w:val="20"/>
                <w:szCs w:val="20"/>
                <w:color w:val="auto"/>
              </w:rPr>
            </w:pPr>
            <w:r>
              <w:rPr>
                <w:rFonts w:ascii="Times New Roman" w:cs="Times New Roman" w:eastAsia="Times New Roman" w:hAnsi="Times New Roman"/>
                <w:sz w:val="15"/>
                <w:szCs w:val="15"/>
                <w:color w:val="auto"/>
              </w:rPr>
              <w:t>Total Hub Group, Inc. equity</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1,644,997</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1,634,645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46,954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480" w:type="dxa"/>
            <w:vAlign w:val="bottom"/>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STOCKHOLDERS' EQUITY</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1,691,951</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1,634,645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80" w:type="dxa"/>
            <w:vAlign w:val="bottom"/>
          </w:tcPr>
          <w:p>
            <w:pPr>
              <w:ind w:left="280"/>
              <w:spacing w:after="0" w:line="156"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300" w:type="dxa"/>
            <w:vAlign w:val="bottom"/>
            <w:tcBorders>
              <w:bottom w:val="single" w:sz="8" w:color="auto"/>
            </w:tcBorders>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2,868,343</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2,936,047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12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553085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204" w:right="37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5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r>
      <w:tr>
        <w:trPr>
          <w:trHeight w:val="39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3,946,390</w:t>
            </w:r>
          </w:p>
        </w:tc>
        <w:tc>
          <w:tcPr>
            <w:tcW w:w="2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4,202,585</w:t>
            </w:r>
          </w:p>
        </w:tc>
        <w:tc>
          <w:tcPr>
            <w:tcW w:w="46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5,340,490</w:t>
            </w:r>
          </w:p>
        </w:tc>
        <w:tc>
          <w:tcPr>
            <w:tcW w:w="60" w:type="dxa"/>
            <w:vAlign w:val="bottom"/>
          </w:tcPr>
          <w:p>
            <w:pPr>
              <w:spacing w:after="0"/>
              <w:rPr>
                <w:sz w:val="24"/>
                <w:szCs w:val="24"/>
                <w:color w:val="auto"/>
              </w:rPr>
            </w:pPr>
          </w:p>
        </w:tc>
      </w:tr>
      <w:tr>
        <w:trPr>
          <w:trHeight w:val="397"/>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Purchased transportation and warehousing</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2,930,562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3,145,595</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4,036,503</w:t>
            </w:r>
          </w:p>
        </w:tc>
        <w:tc>
          <w:tcPr>
            <w:tcW w:w="60" w:type="dxa"/>
            <w:vAlign w:val="bottom"/>
          </w:tcPr>
          <w:p>
            <w:pPr>
              <w:spacing w:after="0"/>
              <w:rPr>
                <w:sz w:val="17"/>
                <w:szCs w:val="17"/>
                <w:color w:val="auto"/>
              </w:rPr>
            </w:pP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benefits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577,464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553,326</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543,010</w:t>
            </w:r>
          </w:p>
        </w:tc>
        <w:tc>
          <w:tcPr>
            <w:tcW w:w="60" w:type="dxa"/>
            <w:vAlign w:val="bottom"/>
          </w:tcPr>
          <w:p>
            <w:pPr>
              <w:spacing w:after="0"/>
              <w:rPr>
                <w:sz w:val="17"/>
                <w:szCs w:val="17"/>
                <w:color w:val="auto"/>
              </w:rPr>
            </w:pP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141,469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143,523</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131,789</w:t>
            </w:r>
          </w:p>
        </w:tc>
        <w:tc>
          <w:tcPr>
            <w:tcW w:w="60" w:type="dxa"/>
            <w:vAlign w:val="bottom"/>
          </w:tcPr>
          <w:p>
            <w:pPr>
              <w:spacing w:after="0"/>
              <w:rPr>
                <w:sz w:val="17"/>
                <w:szCs w:val="17"/>
                <w:color w:val="auto"/>
              </w:rPr>
            </w:pP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and claims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49,040</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58,064</w:t>
            </w:r>
          </w:p>
        </w:tc>
        <w:tc>
          <w:tcPr>
            <w:tcW w:w="60" w:type="dxa"/>
            <w:vAlign w:val="bottom"/>
          </w:tcPr>
          <w:p>
            <w:pPr>
              <w:spacing w:after="0"/>
              <w:rPr>
                <w:sz w:val="17"/>
                <w:szCs w:val="17"/>
                <w:color w:val="auto"/>
              </w:rPr>
            </w:pP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105,705</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120,579</w:t>
            </w:r>
          </w:p>
        </w:tc>
        <w:tc>
          <w:tcPr>
            <w:tcW w:w="60" w:type="dxa"/>
            <w:vAlign w:val="bottom"/>
          </w:tcPr>
          <w:p>
            <w:pPr>
              <w:spacing w:after="0"/>
              <w:rPr>
                <w:sz w:val="17"/>
                <w:szCs w:val="17"/>
                <w:color w:val="auto"/>
              </w:rPr>
            </w:pPr>
          </w:p>
        </w:tc>
      </w:tr>
      <w:tr>
        <w:trPr>
          <w:trHeight w:val="210"/>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340" w:type="dxa"/>
            <w:vAlign w:val="bottom"/>
          </w:tcPr>
          <w:p>
            <w:pPr>
              <w:spacing w:after="0"/>
              <w:rPr>
                <w:sz w:val="18"/>
                <w:szCs w:val="18"/>
                <w:color w:val="auto"/>
              </w:rPr>
            </w:pPr>
          </w:p>
        </w:tc>
        <w:tc>
          <w:tcPr>
            <w:tcW w:w="1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(1,274 )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(6,835 )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(24,176 )</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3,806,099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3,990,354</w:t>
            </w: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4,865,769</w:t>
            </w:r>
          </w:p>
        </w:tc>
        <w:tc>
          <w:tcPr>
            <w:tcW w:w="60" w:type="dxa"/>
            <w:vAlign w:val="bottom"/>
          </w:tcPr>
          <w:p>
            <w:pPr>
              <w:spacing w:after="0"/>
              <w:rPr>
                <w:sz w:val="18"/>
                <w:szCs w:val="18"/>
                <w:color w:val="auto"/>
              </w:rPr>
            </w:pPr>
          </w:p>
        </w:tc>
      </w:tr>
      <w:tr>
        <w:trPr>
          <w:trHeight w:val="391"/>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212,231</w:t>
            </w: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474,721</w:t>
            </w:r>
          </w:p>
        </w:tc>
        <w:tc>
          <w:tcPr>
            <w:tcW w:w="60" w:type="dxa"/>
            <w:vAlign w:val="bottom"/>
          </w:tcPr>
          <w:p>
            <w:pPr>
              <w:spacing w:after="0"/>
              <w:rPr>
                <w:sz w:val="24"/>
                <w:szCs w:val="24"/>
                <w:color w:val="auto"/>
              </w:rPr>
            </w:pPr>
          </w:p>
        </w:tc>
      </w:tr>
      <w:tr>
        <w:trPr>
          <w:trHeight w:val="391"/>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7"/>
                <w:szCs w:val="17"/>
                <w:color w:val="auto"/>
              </w:rPr>
            </w:pPr>
          </w:p>
        </w:tc>
        <w:tc>
          <w:tcPr>
            <w:tcW w:w="1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(14,464 )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(13,435 )</w:t>
            </w:r>
          </w:p>
        </w:tc>
        <w:tc>
          <w:tcPr>
            <w:tcW w:w="3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(7,506 )</w:t>
            </w:r>
          </w:p>
        </w:tc>
      </w:tr>
      <w:tr>
        <w:trPr>
          <w:trHeight w:val="20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60" w:type="dxa"/>
            <w:vAlign w:val="bottom"/>
          </w:tcPr>
          <w:p>
            <w:pPr>
              <w:spacing w:after="0"/>
              <w:rPr>
                <w:sz w:val="17"/>
                <w:szCs w:val="17"/>
                <w:color w:val="auto"/>
              </w:rPr>
            </w:pPr>
          </w:p>
        </w:tc>
      </w:tr>
      <w:tr>
        <w:trPr>
          <w:trHeight w:val="210"/>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Pr>
          <w:p>
            <w:pPr>
              <w:spacing w:after="0"/>
              <w:rPr>
                <w:sz w:val="18"/>
                <w:szCs w:val="18"/>
                <w:color w:val="auto"/>
              </w:rPr>
            </w:pPr>
          </w:p>
        </w:tc>
        <w:tc>
          <w:tcPr>
            <w:tcW w:w="1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(167 )</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Total other expense, net</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4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1"/>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132,546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209,204</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467,958</w:t>
            </w:r>
          </w:p>
        </w:tc>
        <w:tc>
          <w:tcPr>
            <w:tcW w:w="60" w:type="dxa"/>
            <w:vAlign w:val="bottom"/>
          </w:tcPr>
          <w:p>
            <w:pPr>
              <w:spacing w:after="0"/>
              <w:rPr>
                <w:sz w:val="24"/>
                <w:szCs w:val="24"/>
                <w:color w:val="auto"/>
              </w:rPr>
            </w:pPr>
          </w:p>
        </w:tc>
      </w:tr>
      <w:tr>
        <w:trPr>
          <w:trHeight w:val="40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41,676</w:t>
            </w: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111,010</w:t>
            </w:r>
          </w:p>
        </w:tc>
        <w:tc>
          <w:tcPr>
            <w:tcW w:w="60" w:type="dxa"/>
            <w:vAlign w:val="bottom"/>
          </w:tcPr>
          <w:p>
            <w:pPr>
              <w:spacing w:after="0"/>
              <w:rPr>
                <w:sz w:val="24"/>
                <w:szCs w:val="24"/>
                <w:color w:val="auto"/>
              </w:rPr>
            </w:pPr>
          </w:p>
        </w:tc>
      </w:tr>
      <w:tr>
        <w:trPr>
          <w:trHeight w:val="395"/>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356,948</w:t>
            </w:r>
          </w:p>
        </w:tc>
        <w:tc>
          <w:tcPr>
            <w:tcW w:w="60" w:type="dxa"/>
            <w:vAlign w:val="bottom"/>
          </w:tcPr>
          <w:p>
            <w:pPr>
              <w:spacing w:after="0"/>
              <w:rPr>
                <w:sz w:val="24"/>
                <w:szCs w:val="24"/>
                <w:color w:val="auto"/>
              </w:rPr>
            </w:pPr>
          </w:p>
        </w:tc>
      </w:tr>
      <w:tr>
        <w:trPr>
          <w:trHeight w:val="40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401"/>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Hub Group, Inc.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103,993</w:t>
            </w:r>
          </w:p>
        </w:tc>
        <w:tc>
          <w:tcPr>
            <w:tcW w:w="2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46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356,948</w:t>
            </w:r>
          </w:p>
        </w:tc>
        <w:tc>
          <w:tcPr>
            <w:tcW w:w="60" w:type="dxa"/>
            <w:vAlign w:val="bottom"/>
          </w:tcPr>
          <w:p>
            <w:pPr>
              <w:spacing w:after="0"/>
              <w:rPr>
                <w:sz w:val="24"/>
                <w:szCs w:val="24"/>
                <w:color w:val="auto"/>
              </w:rPr>
            </w:pPr>
          </w:p>
        </w:tc>
      </w:tr>
      <w:tr>
        <w:trPr>
          <w:trHeight w:val="20"/>
        </w:trPr>
        <w:tc>
          <w:tcPr>
            <w:tcW w:w="5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405"/>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397"/>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60,623</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63,324</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 average number of shares outstanding</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61,104</w:t>
            </w:r>
          </w:p>
        </w:tc>
        <w:tc>
          <w:tcPr>
            <w:tcW w:w="4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63,954</w:t>
            </w:r>
          </w:p>
        </w:tc>
        <w:tc>
          <w:tcPr>
            <w:tcW w:w="4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67,118</w:t>
            </w:r>
          </w:p>
        </w:tc>
      </w:tr>
      <w:tr>
        <w:trPr>
          <w:trHeight w:val="20"/>
        </w:trPr>
        <w:tc>
          <w:tcPr>
            <w:tcW w:w="5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1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553085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97" w:right="399" w:bottom="1440" w:gutter="0" w:footer="0" w:header="0"/>
        </w:sectPr>
      </w:pPr>
    </w:p>
    <w:bookmarkStart w:id="36" w:name="page37"/>
    <w:bookmarkEnd w:id="36"/>
    <w:p>
      <w:pPr>
        <w:ind w:left="4820"/>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5"/>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r>
      <w:tr>
        <w:trPr>
          <w:trHeight w:val="39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104,043</w:t>
            </w:r>
          </w:p>
        </w:tc>
        <w:tc>
          <w:tcPr>
            <w:tcW w:w="46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46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356,948</w:t>
            </w:r>
          </w:p>
        </w:tc>
        <w:tc>
          <w:tcPr>
            <w:tcW w:w="60" w:type="dxa"/>
            <w:vAlign w:val="bottom"/>
          </w:tcPr>
          <w:p>
            <w:pPr>
              <w:spacing w:after="0"/>
              <w:rPr>
                <w:sz w:val="24"/>
                <w:szCs w:val="24"/>
                <w:color w:val="auto"/>
              </w:rPr>
            </w:pPr>
          </w:p>
        </w:tc>
      </w:tr>
      <w:tr>
        <w:trPr>
          <w:trHeight w:val="39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(2,327 )</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3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101,716</w:t>
            </w:r>
          </w:p>
        </w:tc>
        <w:tc>
          <w:tcPr>
            <w:tcW w:w="46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167,613</w:t>
            </w:r>
          </w:p>
        </w:tc>
        <w:tc>
          <w:tcPr>
            <w:tcW w:w="460" w:type="dxa"/>
            <w:vAlign w:val="bottom"/>
          </w:tcPr>
          <w:p>
            <w:pPr>
              <w:spacing w:after="0"/>
              <w:rPr>
                <w:sz w:val="24"/>
                <w:szCs w:val="24"/>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356,941</w:t>
            </w:r>
          </w:p>
        </w:tc>
        <w:tc>
          <w:tcPr>
            <w:tcW w:w="60" w:type="dxa"/>
            <w:vAlign w:val="bottom"/>
          </w:tcPr>
          <w:p>
            <w:pPr>
              <w:spacing w:after="0"/>
              <w:rPr>
                <w:sz w:val="24"/>
                <w:szCs w:val="24"/>
                <w:color w:val="auto"/>
              </w:rPr>
            </w:pPr>
          </w:p>
        </w:tc>
      </w:tr>
      <w:tr>
        <w:trPr>
          <w:trHeight w:val="40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30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(953 )</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401"/>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attributable to Hub Group, Inc.</w:t>
            </w: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102,669</w:t>
            </w:r>
          </w:p>
        </w:tc>
        <w:tc>
          <w:tcPr>
            <w:tcW w:w="460" w:type="dxa"/>
            <w:vAlign w:val="bottom"/>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167,613</w:t>
            </w:r>
          </w:p>
        </w:tc>
        <w:tc>
          <w:tcPr>
            <w:tcW w:w="46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356,941</w:t>
            </w:r>
          </w:p>
        </w:tc>
        <w:tc>
          <w:tcPr>
            <w:tcW w:w="60" w:type="dxa"/>
            <w:vAlign w:val="bottom"/>
          </w:tcPr>
          <w:p>
            <w:pPr>
              <w:spacing w:after="0"/>
              <w:rPr>
                <w:sz w:val="24"/>
                <w:szCs w:val="24"/>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553085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97" w:right="3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40" w:type="dxa"/>
            <w:vAlign w:val="bottom"/>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Class A and B</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780" w:type="dxa"/>
            <w:vAlign w:val="bottom"/>
          </w:tcPr>
          <w:p>
            <w:pPr>
              <w:spacing w:after="0"/>
              <w:rPr>
                <w:sz w:val="9"/>
                <w:szCs w:val="9"/>
                <w:color w:val="auto"/>
              </w:rPr>
            </w:pPr>
          </w:p>
        </w:tc>
        <w:tc>
          <w:tcPr>
            <w:tcW w:w="1240" w:type="dxa"/>
            <w:vAlign w:val="bottom"/>
            <w:gridSpan w:val="3"/>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900" w:type="dxa"/>
            <w:vAlign w:val="bottom"/>
            <w:gridSpan w:val="5"/>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9"/>
                <w:szCs w:val="9"/>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9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1020" w:type="dxa"/>
            <w:vAlign w:val="bottom"/>
            <w:gridSpan w:val="3"/>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102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20" w:type="dxa"/>
            <w:vAlign w:val="bottom"/>
            <w:vMerge w:val="restart"/>
          </w:tcPr>
          <w:p>
            <w:pPr>
              <w:spacing w:after="0"/>
              <w:rPr>
                <w:sz w:val="10"/>
                <w:szCs w:val="10"/>
                <w:color w:val="auto"/>
              </w:rPr>
            </w:pP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vMerge w:val="restart"/>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(Loss) /</w:t>
            </w: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8"/>
                <w:szCs w:val="8"/>
                <w:b w:val="1"/>
                <w:bCs w:val="1"/>
                <w:color w:val="auto"/>
                <w:w w:val="73"/>
              </w:rPr>
              <w:t>t</w:t>
            </w:r>
          </w:p>
        </w:tc>
        <w:tc>
          <w:tcPr>
            <w:tcW w:w="22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76,099,092</w:t>
            </w:r>
          </w:p>
        </w:tc>
        <w:tc>
          <w:tcPr>
            <w:tcW w:w="22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761</w:t>
            </w:r>
          </w:p>
        </w:tc>
        <w:tc>
          <w:tcPr>
            <w:tcW w:w="2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$ 173,456</w:t>
            </w:r>
          </w:p>
        </w:tc>
        <w:tc>
          <w:tcPr>
            <w:tcW w:w="2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1,424,63</w:t>
            </w:r>
          </w:p>
        </w:tc>
        <w:tc>
          <w:tcPr>
            <w:tcW w:w="2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(207 )</w:t>
            </w:r>
          </w:p>
        </w:tc>
        <w:tc>
          <w:tcPr>
            <w:tcW w:w="10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(6,959,032 )</w:t>
            </w:r>
          </w:p>
        </w:tc>
        <w:tc>
          <w:tcPr>
            <w:tcW w:w="20" w:type="dxa"/>
            <w:vAlign w:val="bottom"/>
          </w:tcPr>
          <w:p>
            <w:pPr>
              <w:spacing w:after="0"/>
              <w:rPr>
                <w:sz w:val="10"/>
                <w:szCs w:val="10"/>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(258,330 )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1,340,314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7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4</w:t>
            </w: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Hub Group, Inc.</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356,948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356,948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tendered for payments of withholding</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(206,094 )</w:t>
            </w:r>
          </w:p>
        </w:tc>
        <w:tc>
          <w:tcPr>
            <w:tcW w:w="20" w:type="dxa"/>
            <w:vAlign w:val="bottom"/>
          </w:tcPr>
          <w:p>
            <w:pPr>
              <w:spacing w:after="0"/>
              <w:rPr>
                <w:sz w:val="12"/>
                <w:szCs w:val="12"/>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(8,312 )</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(8,312 )</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taxes related to awards vested</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(1,890,994 )</w:t>
            </w:r>
          </w:p>
        </w:tc>
        <w:tc>
          <w:tcPr>
            <w:tcW w:w="2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(75,000 )</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(75,000 )</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 from related party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(860,242 )</w:t>
            </w:r>
          </w:p>
        </w:tc>
        <w:tc>
          <w:tcPr>
            <w:tcW w:w="20" w:type="dxa"/>
            <w:vAlign w:val="bottom"/>
          </w:tcPr>
          <w:p>
            <w:pPr>
              <w:spacing w:after="0"/>
              <w:rPr>
                <w:sz w:val="12"/>
                <w:szCs w:val="12"/>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(34,767 )</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(34,767 )</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 17)</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awards,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(1,517 )</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260,318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forfeitures</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1,781,58</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7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76,099,092</w:t>
            </w:r>
          </w:p>
        </w:tc>
        <w:tc>
          <w:tcPr>
            <w:tcW w:w="220" w:type="dxa"/>
            <w:vAlign w:val="bottom"/>
          </w:tcPr>
          <w:p>
            <w:pPr>
              <w:spacing w:after="0"/>
              <w:rPr>
                <w:sz w:val="15"/>
                <w:szCs w:val="15"/>
                <w:color w:val="auto"/>
              </w:rPr>
            </w:pPr>
          </w:p>
        </w:tc>
        <w:tc>
          <w:tcPr>
            <w:tcW w:w="240" w:type="dxa"/>
            <w:vAlign w:val="bottom"/>
            <w:tcBorders>
              <w:bottom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761</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$ 192,365</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(214</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(9,656,044</w:t>
            </w:r>
          </w:p>
        </w:tc>
        <w:tc>
          <w:tcPr>
            <w:tcW w:w="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(374,892</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1,599,602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Hub Group, Inc.</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167,528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tendered for payments of withholding</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(257,630 )</w:t>
            </w:r>
          </w:p>
        </w:tc>
        <w:tc>
          <w:tcPr>
            <w:tcW w:w="20" w:type="dxa"/>
            <w:vAlign w:val="bottom"/>
          </w:tcPr>
          <w:p>
            <w:pPr>
              <w:spacing w:after="0"/>
              <w:rPr>
                <w:sz w:val="12"/>
                <w:szCs w:val="12"/>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(10,148 )</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(10,148 )</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taxes related to awards vested</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(3,762,968 )</w:t>
            </w:r>
          </w:p>
        </w:tc>
        <w:tc>
          <w:tcPr>
            <w:tcW w:w="2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(143,770 )</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(143,770 )</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awards,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(3,883 )</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353,374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forfeitures</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1,949,11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(13,323,26</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7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76,099,092</w:t>
            </w:r>
          </w:p>
        </w:tc>
        <w:tc>
          <w:tcPr>
            <w:tcW w:w="220" w:type="dxa"/>
            <w:vAlign w:val="bottom"/>
          </w:tcPr>
          <w:p>
            <w:pPr>
              <w:spacing w:after="0"/>
              <w:rPr>
                <w:sz w:val="15"/>
                <w:szCs w:val="15"/>
                <w:color w:val="auto"/>
              </w:rPr>
            </w:pPr>
          </w:p>
        </w:tc>
        <w:tc>
          <w:tcPr>
            <w:tcW w:w="240" w:type="dxa"/>
            <w:vAlign w:val="bottom"/>
            <w:tcBorders>
              <w:bottom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761</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$ 209,830</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0</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(129</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8</w:t>
            </w:r>
          </w:p>
        </w:tc>
        <w:tc>
          <w:tcPr>
            <w:tcW w:w="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(524,927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1,634,645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Adjustment related to stock split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(3,220,961 )</w:t>
            </w:r>
          </w:p>
        </w:tc>
        <w:tc>
          <w:tcPr>
            <w:tcW w:w="24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3,220,961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combination with EASO</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Hub Group, Inc.</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103,993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non-controlling</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interests</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tendered for payments of withholding</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(238,323 )</w:t>
            </w:r>
          </w:p>
        </w:tc>
        <w:tc>
          <w:tcPr>
            <w:tcW w:w="20" w:type="dxa"/>
            <w:vAlign w:val="bottom"/>
          </w:tcPr>
          <w:p>
            <w:pPr>
              <w:spacing w:after="0"/>
              <w:rPr>
                <w:sz w:val="12"/>
                <w:szCs w:val="12"/>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(10,782 )</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(10,782 )</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taxes related to awards vested</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(1,591,952 )</w:t>
            </w:r>
          </w:p>
        </w:tc>
        <w:tc>
          <w:tcPr>
            <w:tcW w:w="2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(68,273 )</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(68,273 )</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Federal excise tax on purchased treasury stock</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(1,581 )</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(1,581 )</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awards,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(6,980 )</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376,099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forfeitures</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(30,246 )</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(30,246 )</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accrued</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(593 )</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(593 )</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 to non-controlling interest holders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(1,089 )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(1,089 )</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(1,324 )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(1,003 )</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(2,327 )</w:t>
            </w: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2,022,26</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(11,556,48</w:t>
            </w: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7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72,878,131</w:t>
            </w:r>
          </w:p>
        </w:tc>
        <w:tc>
          <w:tcPr>
            <w:tcW w:w="220" w:type="dxa"/>
            <w:vAlign w:val="bottom"/>
          </w:tcPr>
          <w:p>
            <w:pPr>
              <w:spacing w:after="0"/>
              <w:rPr>
                <w:sz w:val="15"/>
                <w:szCs w:val="15"/>
                <w:color w:val="auto"/>
              </w:rPr>
            </w:pPr>
          </w:p>
        </w:tc>
        <w:tc>
          <w:tcPr>
            <w:tcW w:w="240" w:type="dxa"/>
            <w:vAlign w:val="bottom"/>
            <w:tcBorders>
              <w:bottom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729</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$ 222,039</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(1,453</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7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 (598,583</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46,954</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1,691,951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Some amounts may not foot due to rounding.</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553085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97" w:right="39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HUB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1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104,043</w:t>
            </w:r>
          </w:p>
        </w:tc>
        <w:tc>
          <w:tcPr>
            <w:tcW w:w="3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3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intangibles and right-of-use assets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192,562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184,449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right-of-use asset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(13,814 )</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share-based compensation expense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(1,273 )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(6,835 )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(24,176 )</w:t>
            </w:r>
          </w:p>
        </w:tc>
        <w:tc>
          <w:tcPr>
            <w:tcW w:w="0" w:type="dxa"/>
            <w:vAlign w:val="bottom"/>
          </w:tcPr>
          <w:p>
            <w:pPr>
              <w:spacing w:after="0"/>
              <w:rPr>
                <w:sz w:val="1"/>
                <w:szCs w:val="1"/>
                <w:color w:val="auto"/>
              </w:rPr>
            </w:pPr>
          </w:p>
        </w:tc>
      </w:tr>
      <w:tr>
        <w:trPr>
          <w:trHeight w:val="203"/>
        </w:trPr>
        <w:tc>
          <w:tcPr>
            <w:tcW w:w="7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investments</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(879 )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(2,698 )</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145,088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taxes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(344 )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(14,796 )</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(5,974 )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(3,111 )</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(2,299 )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(3,732 )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(4,231 )</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(73,897 )</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(89,103 )</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(26,644 )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(63,626 )</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liabilities</w:t>
            </w:r>
          </w:p>
        </w:tc>
        <w:tc>
          <w:tcPr>
            <w:tcW w:w="260" w:type="dxa"/>
            <w:vAlign w:val="bottom"/>
          </w:tcPr>
          <w:p>
            <w:pPr>
              <w:spacing w:after="0"/>
              <w:rPr>
                <w:sz w:val="18"/>
                <w:szCs w:val="18"/>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(44,857 )</w:t>
            </w:r>
          </w:p>
        </w:tc>
        <w:tc>
          <w:tcPr>
            <w:tcW w:w="26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(25,860 )</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(19,944 )</w:t>
            </w:r>
          </w:p>
        </w:tc>
        <w:tc>
          <w:tcPr>
            <w:tcW w:w="0" w:type="dxa"/>
            <w:vAlign w:val="bottom"/>
          </w:tcPr>
          <w:p>
            <w:pPr>
              <w:spacing w:after="0"/>
              <w:rPr>
                <w:sz w:val="1"/>
                <w:szCs w:val="1"/>
                <w:color w:val="auto"/>
              </w:rPr>
            </w:pPr>
          </w:p>
        </w:tc>
      </w:tr>
      <w:tr>
        <w:trPr>
          <w:trHeight w:val="210"/>
        </w:trPr>
        <w:tc>
          <w:tcPr>
            <w:tcW w:w="7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194,419</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422,158</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(50,847 )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(140,068 )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(219,140 )</w:t>
            </w: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60" w:type="dxa"/>
            <w:vAlign w:val="bottom"/>
          </w:tcPr>
          <w:p>
            <w:pPr>
              <w:spacing w:after="0"/>
              <w:rPr>
                <w:sz w:val="18"/>
                <w:szCs w:val="18"/>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(14,637 )</w:t>
            </w:r>
          </w:p>
        </w:tc>
        <w:tc>
          <w:tcPr>
            <w:tcW w:w="26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(260,810 )</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(102,661 )</w:t>
            </w:r>
          </w:p>
        </w:tc>
        <w:tc>
          <w:tcPr>
            <w:tcW w:w="0" w:type="dxa"/>
            <w:vAlign w:val="bottom"/>
          </w:tcPr>
          <w:p>
            <w:pPr>
              <w:spacing w:after="0"/>
              <w:rPr>
                <w:sz w:val="1"/>
                <w:szCs w:val="1"/>
                <w:color w:val="auto"/>
              </w:rPr>
            </w:pPr>
          </w:p>
        </w:tc>
      </w:tr>
      <w:tr>
        <w:trPr>
          <w:trHeight w:val="210"/>
        </w:trPr>
        <w:tc>
          <w:tcPr>
            <w:tcW w:w="7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(53,326</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(373,161</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(278,872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83"/>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(107,007 )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(105,771 )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(111,482 )</w:t>
            </w: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(68,273 )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(143,770 )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(75,000 )</w:t>
            </w: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(30,246 )</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withheld for payments of withholding taxes</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(10,782 )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(10,148 )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(8,312 )</w:t>
            </w: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 payments</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(1,693 )</w:t>
            </w:r>
          </w:p>
        </w:tc>
        <w:tc>
          <w:tcPr>
            <w:tcW w:w="26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(2,708 )</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(2,093 )</w:t>
            </w: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 to non-controlling interest holders</w:t>
            </w:r>
          </w:p>
        </w:tc>
        <w:tc>
          <w:tcPr>
            <w:tcW w:w="26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(1,089 )</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treasury stock from related party (Note 17)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(34,767 )</w:t>
            </w:r>
          </w:p>
        </w:tc>
        <w:tc>
          <w:tcPr>
            <w:tcW w:w="0" w:type="dxa"/>
            <w:vAlign w:val="bottom"/>
          </w:tcPr>
          <w:p>
            <w:pPr>
              <w:spacing w:after="0"/>
              <w:rPr>
                <w:sz w:val="1"/>
                <w:szCs w:val="1"/>
                <w:color w:val="auto"/>
              </w:rPr>
            </w:pPr>
          </w:p>
        </w:tc>
      </w:tr>
      <w:tr>
        <w:trPr>
          <w:trHeight w:val="210"/>
        </w:trPr>
        <w:tc>
          <w:tcPr>
            <w:tcW w:w="7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17,764</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113,988</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(201,326</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(148,409</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(52,459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97"/>
        </w:trPr>
        <w:tc>
          <w:tcPr>
            <w:tcW w:w="7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3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tcPr>
          <w:p>
            <w:pPr>
              <w:spacing w:after="0"/>
              <w:rPr>
                <w:sz w:val="24"/>
                <w:szCs w:val="24"/>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(60,322 )</w:t>
            </w:r>
          </w:p>
        </w:tc>
        <w:tc>
          <w:tcPr>
            <w:tcW w:w="260" w:type="dxa"/>
            <w:vAlign w:val="bottom"/>
          </w:tcPr>
          <w:p>
            <w:pPr>
              <w:spacing w:after="0"/>
              <w:rPr>
                <w:sz w:val="24"/>
                <w:szCs w:val="24"/>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(99,372 )</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year</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187,270</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286,642</w:t>
            </w: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126,948</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187,270</w:t>
            </w:r>
          </w:p>
        </w:tc>
        <w:tc>
          <w:tcPr>
            <w:tcW w:w="3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disclosures of cash paid for:</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14,598</w:t>
            </w:r>
          </w:p>
        </w:tc>
        <w:tc>
          <w:tcPr>
            <w:tcW w:w="3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12,510</w:t>
            </w:r>
          </w:p>
        </w:tc>
        <w:tc>
          <w:tcPr>
            <w:tcW w:w="3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paid,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38,200</w:t>
            </w:r>
          </w:p>
        </w:tc>
        <w:tc>
          <w:tcPr>
            <w:tcW w:w="3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34,882</w:t>
            </w:r>
          </w:p>
        </w:tc>
        <w:tc>
          <w:tcPr>
            <w:tcW w:w="3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1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553085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04" w:right="399" w:bottom="1440" w:gutter="0" w:footer="0" w:header="0"/>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Hub Group, Inc. (the “Company”, “Hub”, “we”, “us” or “our”) is a leading supply chain solutions provider that offers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logistics management services focused on reliability, visibility and value for our customers. Our service offerings include a full range of freight transportation and logistics services, some of which are provided using assets we own and operate, and some of which are provided by third parties with whom we contract. Our transportation services include intermodal, truckload, less-than-truckload, flatbed, temperature-controlled, dedicated and regional trucking. Our logistics services include full outsource logistics solutions, transportation management services, consolidation and fulfillment services, final mile delivery, parcel and international services.</w:t>
      </w:r>
    </w:p>
    <w:p>
      <w:pPr>
        <w:spacing w:after="0" w:line="76" w:lineRule="exact"/>
        <w:rPr>
          <w:sz w:val="20"/>
          <w:szCs w:val="20"/>
          <w:color w:val="auto"/>
        </w:rPr>
      </w:pPr>
    </w:p>
    <w:p>
      <w:pPr>
        <w:jc w:val="both"/>
        <w:ind w:firstLine="374"/>
        <w:spacing w:after="0" w:line="263" w:lineRule="auto"/>
        <w:rPr>
          <w:sz w:val="20"/>
          <w:szCs w:val="20"/>
          <w:color w:val="auto"/>
        </w:rPr>
      </w:pPr>
      <w:r>
        <w:rPr>
          <w:rFonts w:ascii="Times New Roman" w:cs="Times New Roman" w:eastAsia="Times New Roman" w:hAnsi="Times New Roman"/>
          <w:sz w:val="18"/>
          <w:szCs w:val="18"/>
          <w:color w:val="auto"/>
        </w:rPr>
        <w:t xml:space="preserve">On October 23, 2024, we entered into an investment agreement with Corporación Interamericana de Logística, S.A. de C.V. (“CIL”) and certain associated entities (commonly known as “EASO”) whereby we acquired a 51% controlling interest. On December 20, 2023, we acquired Forward Air Final Mile (“FAFM”). On August 22, 2022, we acquired </w:t>
      </w:r>
      <w:r>
        <w:rPr>
          <w:rFonts w:ascii="Times New Roman" w:cs="Times New Roman" w:eastAsia="Times New Roman" w:hAnsi="Times New Roman"/>
          <w:sz w:val="18"/>
          <w:szCs w:val="18"/>
          <w:color w:val="231F20"/>
        </w:rPr>
        <w:t>TAGG Logistics, LLC (“TAGG”).</w:t>
      </w:r>
      <w:r>
        <w:rPr>
          <w:rFonts w:ascii="Times New Roman" w:cs="Times New Roman" w:eastAsia="Times New Roman" w:hAnsi="Times New Roman"/>
          <w:sz w:val="18"/>
          <w:szCs w:val="18"/>
          <w:color w:val="auto"/>
        </w:rPr>
        <w:t xml:space="preserve"> Refer to Note 4 </w:t>
      </w:r>
      <w:r>
        <w:rPr>
          <w:rFonts w:ascii="Times New Roman" w:cs="Times New Roman" w:eastAsia="Times New Roman" w:hAnsi="Times New Roman"/>
          <w:sz w:val="18"/>
          <w:szCs w:val="18"/>
          <w:color w:val="231F20"/>
        </w:rPr>
        <w:t>“Business Combinations”</w:t>
      </w:r>
      <w:r>
        <w:rPr>
          <w:rFonts w:ascii="Times New Roman" w:cs="Times New Roman" w:eastAsia="Times New Roman" w:hAnsi="Times New Roman"/>
          <w:sz w:val="18"/>
          <w:szCs w:val="18"/>
          <w:color w:val="auto"/>
        </w:rPr>
        <w:t xml:space="preserve"> for additional information.</w:t>
      </w:r>
    </w:p>
    <w:p>
      <w:pPr>
        <w:spacing w:after="0" w:line="39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consolidated financial statements include our accounts and all entities in which we have a controlling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including variable interest entities (“VIEs”) for which we are the primary beneficiary. All significant intercompany balances and transactions have been eliminated in consolidation, and net income are reduced by the portion of net income attributable to non-controlling interests.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We consolidate all variable interest entities where we are the primary beneficiary. We identify the primary beneficiary of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as the enterprise that has both: (i) the power to direct the activities of the VIE that most significantly impact the entity's economic performance; and</w:t>
      </w:r>
    </w:p>
    <w:p>
      <w:pPr>
        <w:spacing w:after="0" w:line="9" w:lineRule="exact"/>
        <w:rPr>
          <w:sz w:val="20"/>
          <w:szCs w:val="20"/>
          <w:color w:val="auto"/>
        </w:rPr>
      </w:pPr>
    </w:p>
    <w:p>
      <w:pPr>
        <w:jc w:val="both"/>
        <w:ind w:firstLine="8"/>
        <w:spacing w:after="0" w:line="252"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absorb losses or the right to receive benefits of the VIE that could be significant to the entity. In addition, we consider the nature of relationships and activities of the parties involved and, where necessary, determine which party within a related-party group is most closely associated with the VIE and would therefore be considered the primary beneficiary. We determine primary beneficiary status of a VIE at the time of investment and perform ongoing reassessments to evaluate whether changes in the entity’s capital structure or changes in the nature of its involvement with the entity result in a change to the VIE designation or a change to its consolidation conclusion. Our economic interest in CIL includes an allocation of income or loss proportional to our relative ownership interest.</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Interests: </w:t>
      </w: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employees in certain consolidated entities that are not 100% owned by the Company. Non-controlling interests are presented as separate components of stockholders’ equity on our Consolidated Balance Sheets to clearly distinguish between our interests and the economic interests of third parties and employees in those entities. Net income attributable to Hub Group, Inc., as reported in the Consolidated Statements of Income, is presented net of the portion of net income attributable to holders of non-controlling interests.</w:t>
      </w:r>
    </w:p>
    <w:p>
      <w:pPr>
        <w:spacing w:after="0" w:line="18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We consider as cash equivalents all highly liquid instruments with an original maturity of three months or less.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 our cash and temporary investments were with high quality financial institutions in demand deposit accounts (“DDAs”), savings accounts, checking accounts and money market accounts.</w:t>
      </w:r>
    </w:p>
    <w:p>
      <w:pPr>
        <w:spacing w:after="0" w:line="1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Restricted cash includes cash held in both deposit accounts and escrow accounts that are not subject to remeasurement on a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which are restricted under certain investment agreements as to future use.</w:t>
      </w:r>
    </w:p>
    <w:p>
      <w:pPr>
        <w:spacing w:after="0" w:line="15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Assets and liabilities of non-U.S. dollar functional currency operations are translated into U.S. dollars at end-of-period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while revenues, expenses and cash flows are translated at average monthly exchange rates over the period. Equity is translated primarily at historical exchange rates and the resulting cumulative translation adjustments are included as a component of Accumulated other comprehensive loss in the Consolidated Balance Sheets.</w:t>
      </w: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Uncollectible Accounts: </w:t>
      </w:r>
      <w:r>
        <w:rPr>
          <w:rFonts w:ascii="Times New Roman" w:cs="Times New Roman" w:eastAsia="Times New Roman" w:hAnsi="Times New Roman"/>
          <w:sz w:val="18"/>
          <w:szCs w:val="18"/>
          <w:color w:val="auto"/>
        </w:rPr>
        <w:t>The allowance for credit losses is a valuation account that is deducted from the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receivables’ amortized cost basis to present the net amount expected to be collected on the receivables. Trade receivables are charged off against the allowance when we believe the uncollectibility of a receivable balance is confirmed, and the expected recoveries do not exceed the aggregate of amounts previously charged-off and expected to be charged-off. Management continuously reviews and assesses the environment and its potential impact on the credit worthiness and collectability of our accounts receivable with customers most affected by tighter financial conditions. Our allowance for credit losses is presented in the allowance for uncollectible trade accounts and is immaterial as of December 31, 2024 and 2023. The allowance for uncollectible trade accounts also includes estimated adjustments to revenue for items such as billing disputes. Our reserve for uncollectible accounts was approximately $26.7 million and $34.7 million as of December 31, 2024 and 2023, respectively. Receivables are written off once collection efforts have been exhausted. Recoveries of receivables previously charged off are recorded when received.</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Property and equipment are stated at cost. Depreciation of property and equipment is computed using the straight-line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at rates adequate to depreciate the cost of the applicable assets over their expected useful lives: building and improvements, up to 40 years; leasehold improvements, the shorter of useful life or lease term; computer equipment and software, up to 10 years; furniture and equipment, up to 10 years; and transportation equipment up to 20 years. Direct costs related to internally developed software projects are capitalized and amortized over their expected useful life on a straight-line basis not to exceed 10 years. Interest is capitalized on qualifying assets under development for internal use. Maintenance and repairs are charged to operations as incurred and major improvements are capitalized. The cost of assets retired or otherwise disposed of and the accumulated depreciation thereon are removed from the accounts with any gain or loss realized upon sale or disposal charged or credited to operations.</w:t>
      </w:r>
    </w:p>
    <w:p>
      <w:pPr>
        <w:spacing w:after="0" w:line="18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routinely evaluate the useful life attributed to our assets. During the quarter ended September 30, 2024, we determined that the useful lives of certain transportation equipment should be increased to 20 years based on historical experience related to the use of this equipment and our expectation of its future usability. In addition, we changed the estimated salvage values of the transportation equipment to reflect current expectations at the end of the revised useful life. We accounted for these items as changes in estimate that were applied prospectively, effective as of July 1, 2024. These changes in estimate resulted in a decrease in depreciation expense of $10.0 million, an increase to net income of $7.9 million and an increase in both basic and diluted earnings per share of $0.13, during the six months ended December 31, 2024.</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review long-lived assets for impairment when events or changes in circumstances indicate the carrying amount of an asset may not be recoverable. In the event that the undiscounted future cash flows resulting from the use of the asset is less than the carrying amount, an impairment loss equal to the excess of the assets carrying amount over its fair value, less cost to dispose, is recorded.</w:t>
      </w:r>
    </w:p>
    <w:p>
      <w:pPr>
        <w:spacing w:after="0" w:line="17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Capitalized Internal Use Software and Cloud Computing Costs: </w:t>
      </w:r>
      <w:r>
        <w:rPr>
          <w:rFonts w:ascii="Times New Roman" w:cs="Times New Roman" w:eastAsia="Times New Roman" w:hAnsi="Times New Roman"/>
          <w:sz w:val="18"/>
          <w:szCs w:val="18"/>
          <w:color w:val="auto"/>
        </w:rPr>
        <w:t>We capitalize internal and external costs, which include costs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our cloud computing or hosting arrangements, incurred to develop internal use software per ASC Subtopic 350-40. Internal use software has both of the following characteristics: the software is acquired, internally developed, or modified solely to meet our needs and during the development or modification, no substantive plan exists or is being developed to market the software externally. Only costs incurred during the application development stage and costs to develop or obtain software that allows for access to or conversion of old data by new systems are capitalized. Capitalization of costs begins when the preliminary project stage is complete, management has committed to funding the project and it is probable the project will be completed, and the software will be used to perform its intended function. The measurement of the costs to capitalize include fees paid to third parties, costs incurred to obtain software from third parties, travel expenses incurred by employees in their duties associated with developing software, payroll related costs for employees who spend time directly on the project and interest costs incurred while developing internal-use software or implementing a hosting arrangement. Capitalization ceases no later than when the project is substantially complete and ready for its intended use, after all substantial testing is complete.</w:t>
      </w:r>
    </w:p>
    <w:p>
      <w:pPr>
        <w:spacing w:after="0" w:line="192"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Goodwill and Other Intangibles</w:t>
      </w:r>
      <w:r>
        <w:rPr>
          <w:rFonts w:ascii="Times New Roman" w:cs="Times New Roman" w:eastAsia="Times New Roman" w:hAnsi="Times New Roman"/>
          <w:sz w:val="18"/>
          <w:szCs w:val="18"/>
          <w:color w:val="auto"/>
        </w:rPr>
        <w:t>: Goodwill represents the excess of purchase price over the fair market value of net assets acquired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combinations. Goodwill and intangible assets that have indefinite useful lives are not amortized but are subject to annual impairment tests.</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test goodwill for impairment annually in the fourth quarter or when events or changes in circumstances indicate the carrying value of this asset might exceed the current fair value. We test goodwill for impairment at the reporting unit level. We have two reportable segments and two reporting units: Intermodal and Transportation Solutions (“ITS”) and Logistics which are based primarily on the services each segment provides. We assess qualitative factors such as current company performance and overall economic factors to determine if it is more-likely-than-not that the fair value of our reporting units is less than their carrying value and whether it is necessary to perform the quantitative goodwill impairment test. In the quantitative goodwill test, a company compares the carrying value of its reporting units to their fair value. If the fair value of a reporting unit is less than the carrying amount, then a goodwill impairment charge will be recognized in the amount by which carrying amount exceeds fair value, limited to the total amount of goodwill allocated to that reporting unit. We performed our annual assessment in the fourth quarter of 2024 and 2023 as required and determined it was not more-likely-than-not that the fair value of our reporting units was less than its carrying value.</w:t>
      </w:r>
    </w:p>
    <w:p>
      <w:pPr>
        <w:spacing w:after="0" w:line="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1" w:name="page42"/>
    <w:bookmarkEnd w:id="41"/>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evaluate the potential impairment of finite-lived acquired intangible assets when impairment indicators exist. If the carrying value is no longer recoverable based upon the undiscounted future cash flows of the asset, the amount of the impairment is the difference between the carrying amount and the fair value of the asset.</w:t>
      </w:r>
    </w:p>
    <w:p>
      <w:pPr>
        <w:spacing w:after="0" w:line="174"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Claims Accruals: </w:t>
      </w:r>
      <w:r>
        <w:rPr>
          <w:rFonts w:ascii="Times New Roman" w:cs="Times New Roman" w:eastAsia="Times New Roman" w:hAnsi="Times New Roman"/>
          <w:sz w:val="18"/>
          <w:szCs w:val="18"/>
          <w:color w:val="auto"/>
        </w:rPr>
        <w:t>We purchase insurance coverage for a portion of expenses related to employee injuries, vehicular collisions, accidents, and cargo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 Certain insurance arrangements include high self-insurance retention limits or deductibles applicable to each claim. We have umbrella policies to limit our exposure to large claim costs.</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claims accrual policy for all self-insured claims is to recognize a liability at the time of the incident based on our analysis of the nature and severity of the claims and analyses provided by third-party claims administrators, as well as legal and regulatory factors. Our safety and claims personnel work directly with representatives from the insurance companies to continually update the estimated cost of each claim. The ultimate cost of a claim develops over time as additional information regarding the nature, timing, and extent of damages claimed becomes available. Accordingly, we use an actuarial method to develop current claim information to derive an estimate of our ultimate claim liability. This process involves the use of loss-development factors based on our historical claims experience. In doing so, the recorded liability factors in future growth of claims and an allowance for incurred-but-not-reported claims. We do not discount our estimated losses. In addition, we record receivables for amounts expected to be reimbursed for payments made in excess of self-insurance levels on covered claims related to auto liability and workers’ compensation. At December 31, 2024 and 2023, we had an accrual of approximately $38.5 million and $39.1 million, respectively for estimated claims. We had no significant receivables recorded for payments in excess of our self-insured levels. Our claims accruals are classified in accrued other and non-current liabilities in the consolidated balance sheets, based on when the claim is estimated to be paid.</w:t>
      </w:r>
    </w:p>
    <w:p>
      <w:pPr>
        <w:spacing w:after="0" w:line="190"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Our financial instruments that are exposed to concentrations of credit risk consist primarily of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accounts receivable. We place our cash and temporary investments with high quality financial institutions in DDAs, savings accounts, checking accounts and money market accounts. We primarily serve customers located throughout the United States with no significant concentration in any one region. In each of the years ended December 31, 2024, 2023 and 2022, one customer accounted for more than 10% of our annual revenue in both segments. We review a customer’s credit history before extending credit. In addition, we routinely assess the financial strength of our customers and, as a consequence, believe that our trade accounts receivable risk is limited.</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includes the one customer that represented 10% or more of our annual revenue by segment during the last three fiscal years:</w:t>
      </w:r>
    </w:p>
    <w:p>
      <w:pPr>
        <w:spacing w:after="0" w:line="27" w:lineRule="exact"/>
        <w:rPr>
          <w:sz w:val="20"/>
          <w:szCs w:val="20"/>
          <w:color w:val="auto"/>
        </w:rPr>
      </w:pPr>
    </w:p>
    <w:tbl>
      <w:tblPr>
        <w:tblLayout w:type="fixed"/>
        <w:tblInd w:w="266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080" w:type="dxa"/>
            <w:vAlign w:val="bottom"/>
          </w:tcPr>
          <w:p>
            <w:pPr>
              <w:spacing w:after="0"/>
              <w:rPr>
                <w:sz w:val="16"/>
                <w:szCs w:val="16"/>
                <w:color w:val="auto"/>
              </w:rPr>
            </w:pPr>
          </w:p>
        </w:tc>
      </w:tr>
      <w:tr>
        <w:trPr>
          <w:trHeight w:val="215"/>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Customer A</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199"/>
        </w:trPr>
        <w:tc>
          <w:tcPr>
            <w:tcW w:w="23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3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182"/>
        </w:trPr>
        <w:tc>
          <w:tcPr>
            <w:tcW w:w="2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ITS</w:t>
            </w:r>
          </w:p>
        </w:tc>
        <w:tc>
          <w:tcPr>
            <w:tcW w:w="8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14%</w:t>
            </w:r>
          </w:p>
        </w:tc>
        <w:tc>
          <w:tcPr>
            <w:tcW w:w="340" w:type="dxa"/>
            <w:vAlign w:val="bottom"/>
          </w:tcPr>
          <w:p>
            <w:pPr>
              <w:spacing w:after="0"/>
              <w:rPr>
                <w:sz w:val="15"/>
                <w:szCs w:val="15"/>
                <w:color w:val="auto"/>
              </w:rPr>
            </w:pPr>
          </w:p>
        </w:tc>
        <w:tc>
          <w:tcPr>
            <w:tcW w:w="9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320" w:type="dxa"/>
            <w:vAlign w:val="bottom"/>
          </w:tcPr>
          <w:p>
            <w:pPr>
              <w:spacing w:after="0"/>
              <w:rPr>
                <w:sz w:val="15"/>
                <w:szCs w:val="15"/>
                <w:color w:val="auto"/>
              </w:rPr>
            </w:pPr>
          </w:p>
        </w:tc>
        <w:tc>
          <w:tcPr>
            <w:tcW w:w="10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5"/>
              </w:rPr>
              <w:t>14%</w:t>
            </w:r>
          </w:p>
        </w:tc>
      </w:tr>
      <w:tr>
        <w:trPr>
          <w:trHeight w:val="203"/>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Logistics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gridSpan w:val="2"/>
          </w:tcPr>
          <w:p>
            <w:pPr>
              <w:jc w:val="center"/>
              <w:ind w:left="239"/>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r>
      <w:tr>
        <w:trPr>
          <w:trHeight w:val="210"/>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gridSpan w:val="2"/>
          </w:tcPr>
          <w:p>
            <w:pPr>
              <w:jc w:val="center"/>
              <w:ind w:left="239"/>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w:t>
            </w:r>
          </w:p>
        </w:tc>
      </w:tr>
    </w:tbl>
    <w:p>
      <w:pPr>
        <w:spacing w:after="0" w:line="200" w:lineRule="exact"/>
        <w:rPr>
          <w:sz w:val="20"/>
          <w:szCs w:val="20"/>
          <w:color w:val="auto"/>
        </w:rPr>
      </w:pPr>
    </w:p>
    <w:p>
      <w:pPr>
        <w:spacing w:after="0" w:line="3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accordance with the Accounting Standards Codification (ASC) topic 606, “Revenue from Contracts with Customers”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accounting policy for revenue is as follows:</w:t>
      </w:r>
    </w:p>
    <w:p>
      <w:pPr>
        <w:spacing w:after="0" w:line="16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Revenue is recognized when we transfer services to our customer in an amount that reflects the consideration we expect to receive. We account for a contract when it has approval and commitment from both parties, the rights of the parties are identified, payment terms are identified, the contract has commercial substance and collectability of consideration is probable. We generally recognize revenue over time because of continuous transfer of control to the customer. Since control is transferred over time, revenue and related transportation costs are recognized based on relative transit time, which is based on the extent of progress towards completion of the related performance obligation. We enter into contracts that can include various combinations of services, which are capable of being distinct and accounted for as separate performance obligations. Taxes assessed by a governmental authority that are both imposed on and concurrent with a specific revenue-producing transaction, that are collected by us from a customer, are excluded from revenue. Further, in most cases, we report our revenue on a gross basis because we are the primary obligor as we are responsible for providing the service desired by the customer. Our customers view us as responsible for fulfillment including the acceptability of the service. Service requirements may include, for example, on-time delivery, handling freight loss and damage claims, setting up appointments for pick-up and delivery and tracing shipments in transit. We have discretion in setting prices to our customers and as a result, the amount we earn varies. In addition, we have the discretion to select our vendors from multiple suppliers for the services ordered by our customers. These factors, discretion in setting prices and discretion in selecting vendors, further support reporting revenue on a gross basis for most of our revenue.</w:t>
      </w:r>
    </w:p>
    <w:p>
      <w:pPr>
        <w:spacing w:after="0" w:line="7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Significant judgment is required in determining and assessing the impact of complex tax laws and certain tax-related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contingencies on our provision for income taxes. As part of our calculation of the provision for income taxes, we assess whether the benefits of our tax positions are at least more likely than not to be sustained upon audit based on the technical merits of the tax position. For tax positions that are not more likely than not to be sustained upon audit, we accrue the largest amount of the benefit that is not more likely than not to be sustained in our financial statements. Such accruals require us to make estimates and judgments, whereby actual results could vary materially from these estimates. Further, years may elapse before a particular matter for which we have established an accrual is audited and resolved or its statute of limitations expires. We recognize interest expense and penalties related to income tax liabilities in our provision for income taxes.</w:t>
      </w:r>
    </w:p>
    <w:p>
      <w:pPr>
        <w:spacing w:after="0" w:line="77" w:lineRule="exact"/>
        <w:rPr>
          <w:sz w:val="20"/>
          <w:szCs w:val="20"/>
          <w:color w:val="auto"/>
        </w:rPr>
      </w:pPr>
    </w:p>
    <w:p>
      <w:pPr>
        <w:jc w:val="both"/>
        <w:ind w:firstLine="426"/>
        <w:spacing w:after="0" w:line="258" w:lineRule="auto"/>
        <w:rPr>
          <w:sz w:val="20"/>
          <w:szCs w:val="20"/>
          <w:color w:val="auto"/>
        </w:rPr>
      </w:pPr>
      <w:r>
        <w:rPr>
          <w:rFonts w:ascii="Times New Roman" w:cs="Times New Roman" w:eastAsia="Times New Roman" w:hAnsi="Times New Roman"/>
          <w:sz w:val="18"/>
          <w:szCs w:val="18"/>
          <w:color w:val="auto"/>
        </w:rPr>
        <w:t>Deferred income taxes are recognized for the future tax effects of temporary differences between financial statement and income tax reporting using tax rates in effect for the years in which the differences are expected to reverse. We believe that it is more likely than not that our deferred tax assets will be realized based on future taxable income projections, with one exception. We have established a valuation allowance of $2.9 million related to certain federal and state tax credit carryforwards. In the event the probability of realizing the remaining deferred tax assets does not meet the more likely than not threshold in the future, a valuation allowance would be established for the deferred tax assets deemed unrecoverable.</w:t>
      </w:r>
    </w:p>
    <w:p>
      <w:pPr>
        <w:spacing w:after="0" w:line="181"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Earnings Per Common Share</w:t>
      </w:r>
      <w:r>
        <w:rPr>
          <w:rFonts w:ascii="Times New Roman" w:cs="Times New Roman" w:eastAsia="Times New Roman" w:hAnsi="Times New Roman"/>
          <w:sz w:val="18"/>
          <w:szCs w:val="18"/>
          <w:color w:val="auto"/>
        </w:rPr>
        <w:t>: Basic earnings per common share are based on the average quarterly weighted average number of Class A and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outstanding. Diluted earnings per common share are adjusted for restricted stock using the treasury stock method.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Stock Based Compensation: </w:t>
      </w:r>
      <w:r>
        <w:rPr>
          <w:rFonts w:ascii="Times New Roman" w:cs="Times New Roman" w:eastAsia="Times New Roman" w:hAnsi="Times New Roman"/>
          <w:sz w:val="18"/>
          <w:szCs w:val="18"/>
          <w:color w:val="auto"/>
        </w:rPr>
        <w:t>Share-based compensation includes the restricted stock awards expected to vest based on the grant date fair value.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is amortized straight-line over the vesting period and is included in salaries and benefits</w:t>
      </w:r>
      <w:r>
        <w:rPr>
          <w:rFonts w:ascii="Times New Roman" w:cs="Times New Roman" w:eastAsia="Times New Roman" w:hAnsi="Times New Roman"/>
          <w:sz w:val="18"/>
          <w:szCs w:val="18"/>
          <w:color w:val="252525"/>
        </w:rPr>
        <w:t>.</w:t>
      </w:r>
    </w:p>
    <w:p>
      <w:pPr>
        <w:spacing w:after="0" w:line="20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New Pronouncements: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(Topic 220) - Disaggregation of Income Statement Expenses</w:t>
      </w:r>
      <w:r>
        <w:rPr>
          <w:rFonts w:ascii="Times New Roman" w:cs="Times New Roman" w:eastAsia="Times New Roman" w:hAnsi="Times New Roman"/>
          <w:sz w:val="18"/>
          <w:szCs w:val="18"/>
          <w:color w:val="auto"/>
        </w:rPr>
        <w:t>. ASU 2024-03 requires additional disclosure of the 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included in the income statement in response to requests from investors for more information about an entity’s expenses. The new standard requires disclosures about specific types of expenses included in the expense captions presented on the face of the income statement as well as disclosures about selling expenses. For public business entities, ASU 2024-03 is effective for annual periods beginning after December 15, 2026, and interim reporting periods beginning after December 15, 2027. We are currently assessing the impact of adopting this guidance on our disclosures; it will not have an impact on our results of operations, cash flows, or financial condition.</w:t>
      </w:r>
    </w:p>
    <w:p>
      <w:pPr>
        <w:spacing w:after="0" w:line="18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enhanced annual disclosures regarding the rate reconciliation and income taxes paid information. For public business entities, ASU 2023-09 is effective for annual periods beginning after December 15, 2024. We are assessing the impact of this guidance on our disclosures; it will not have an impact on our results of operations, cash flows, or financial condition.</w:t>
      </w:r>
    </w:p>
    <w:p>
      <w:pPr>
        <w:spacing w:after="0" w:line="1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3" w:name="page44"/>
    <w:bookmarkEnd w:id="43"/>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which requires retrospective disclosure of significant segment expenses and other segment items on an annual and interim basis. Additionally, it requires disclosure of the title and position of the Chief Operating Decision Maker (“CODM”). We adopted this new accounting standard effective for our fiscal December 31, 2024 year-end disclosures. The adoption of this standard impacted our disclosures only and did not have an impact on our results of operations, cash flows or financial condition. See Note 5 of the consolidated financial statements for details related to “Segment Reporting.”</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52530"/>
        </w:rPr>
        <w:t>The Board declared quarterly cash dividends throughout 2024 as follows:</w:t>
      </w:r>
    </w:p>
    <w:p>
      <w:pPr>
        <w:spacing w:after="0" w:line="117" w:lineRule="exact"/>
        <w:rPr>
          <w:sz w:val="20"/>
          <w:szCs w:val="20"/>
          <w:color w:val="auto"/>
        </w:rPr>
      </w:pPr>
    </w:p>
    <w:p>
      <w:pPr>
        <w:ind w:left="760" w:right="580" w:hanging="378"/>
        <w:spacing w:after="0" w:line="282" w:lineRule="auto"/>
        <w:tabs>
          <w:tab w:leader="none" w:pos="760" w:val="left"/>
        </w:tabs>
        <w:numPr>
          <w:ilvl w:val="0"/>
          <w:numId w:val="12"/>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February 22, 2024, the Board declared a quarterly cash dividend of $0.125 per share on our Class A and Class B Common Stock. The dividend was paid on March 27, 2024 to stockholders of record as of March 8, 2024.</w:t>
      </w:r>
    </w:p>
    <w:p>
      <w:pPr>
        <w:spacing w:after="0" w:line="53" w:lineRule="exact"/>
        <w:rPr>
          <w:rFonts w:ascii="Times New Roman" w:cs="Times New Roman" w:eastAsia="Times New Roman" w:hAnsi="Times New Roman"/>
          <w:sz w:val="18"/>
          <w:szCs w:val="18"/>
          <w:color w:val="252530"/>
        </w:rPr>
      </w:pPr>
    </w:p>
    <w:p>
      <w:pPr>
        <w:ind w:left="760" w:right="240" w:hanging="378"/>
        <w:spacing w:after="0" w:line="282" w:lineRule="auto"/>
        <w:tabs>
          <w:tab w:leader="none" w:pos="760" w:val="left"/>
        </w:tabs>
        <w:numPr>
          <w:ilvl w:val="0"/>
          <w:numId w:val="12"/>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May 23, 2024, the Board declared a quarterly cash dividend of $0.125 per share on our Class A and Class B Common Stock. The dividend was paid on June 26, 2024 to stockholders of record as of June 7, 2024.</w:t>
      </w:r>
    </w:p>
    <w:p>
      <w:pPr>
        <w:spacing w:after="0" w:line="53" w:lineRule="exact"/>
        <w:rPr>
          <w:rFonts w:ascii="Times New Roman" w:cs="Times New Roman" w:eastAsia="Times New Roman" w:hAnsi="Times New Roman"/>
          <w:sz w:val="18"/>
          <w:szCs w:val="18"/>
          <w:color w:val="252530"/>
        </w:rPr>
      </w:pPr>
    </w:p>
    <w:p>
      <w:pPr>
        <w:ind w:left="760" w:right="40" w:hanging="378"/>
        <w:spacing w:after="0" w:line="282" w:lineRule="auto"/>
        <w:tabs>
          <w:tab w:leader="none" w:pos="760" w:val="left"/>
        </w:tabs>
        <w:numPr>
          <w:ilvl w:val="0"/>
          <w:numId w:val="12"/>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August 27, 2024, the Board declared a quarterly cash dividend of $0.125 per share on our Class A and Class B Common Stock. The dividend was paid on September 25, 2024 to stockholders of record as of September 6, 2024.</w:t>
      </w:r>
    </w:p>
    <w:p>
      <w:pPr>
        <w:spacing w:after="0" w:line="53" w:lineRule="exact"/>
        <w:rPr>
          <w:rFonts w:ascii="Times New Roman" w:cs="Times New Roman" w:eastAsia="Times New Roman" w:hAnsi="Times New Roman"/>
          <w:sz w:val="18"/>
          <w:szCs w:val="18"/>
          <w:color w:val="252530"/>
        </w:rPr>
      </w:pPr>
    </w:p>
    <w:p>
      <w:pPr>
        <w:ind w:left="760" w:right="480" w:hanging="378"/>
        <w:spacing w:after="0" w:line="282" w:lineRule="auto"/>
        <w:tabs>
          <w:tab w:leader="none" w:pos="760" w:val="left"/>
        </w:tabs>
        <w:numPr>
          <w:ilvl w:val="0"/>
          <w:numId w:val="12"/>
        </w:numPr>
        <w:rPr>
          <w:rFonts w:ascii="Times New Roman" w:cs="Times New Roman" w:eastAsia="Times New Roman" w:hAnsi="Times New Roman"/>
          <w:sz w:val="18"/>
          <w:szCs w:val="18"/>
          <w:color w:val="252530"/>
        </w:rPr>
      </w:pPr>
      <w:r>
        <w:rPr>
          <w:rFonts w:ascii="Times New Roman" w:cs="Times New Roman" w:eastAsia="Times New Roman" w:hAnsi="Times New Roman"/>
          <w:sz w:val="18"/>
          <w:szCs w:val="18"/>
          <w:color w:val="252530"/>
        </w:rPr>
        <w:t>On November 25, 2024, the Board declared a quarterly cash dividend of $0.125 per share on our Class A and Class B Common Stock. The dividend was paid on December 20, 2024 to stockholders of record as of December 6, 2024.</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252530"/>
        </w:rPr>
        <w:t xml:space="preserve">The declarations and payments of the quarterly cash dividends were subject to the approval of the Board at its sole discretion and in compliance with applicable laws and regulations. </w:t>
      </w:r>
      <w:r>
        <w:rPr>
          <w:rFonts w:ascii="Times New Roman" w:cs="Times New Roman" w:eastAsia="Times New Roman" w:hAnsi="Times New Roman"/>
          <w:sz w:val="18"/>
          <w:szCs w:val="18"/>
          <w:color w:val="000000"/>
        </w:rPr>
        <w:t>Accordingly, there can be no assurance that the Board will declare or pay cash dividends on the shares of Common Stock</w:t>
      </w:r>
      <w:r>
        <w:rPr>
          <w:rFonts w:ascii="Times New Roman" w:cs="Times New Roman" w:eastAsia="Times New Roman" w:hAnsi="Times New Roman"/>
          <w:sz w:val="18"/>
          <w:szCs w:val="18"/>
          <w:color w:val="252530"/>
        </w:rPr>
        <w:t xml:space="preserve"> </w:t>
      </w:r>
      <w:r>
        <w:rPr>
          <w:rFonts w:ascii="Times New Roman" w:cs="Times New Roman" w:eastAsia="Times New Roman" w:hAnsi="Times New Roman"/>
          <w:sz w:val="18"/>
          <w:szCs w:val="18"/>
          <w:color w:val="000000"/>
        </w:rPr>
        <w:t>in the future. Our certificate of incorporation requires that any cash dividends must be paid equally on each outstanding share of Class A Common Stock and Class B Common Stock. Our credit facility prohibits us from paying dividends on the Common Stock if there has been, or immediately following the payment of a dividend there would be, a default or an event of default under the credit facility.</w:t>
      </w:r>
    </w:p>
    <w:p>
      <w:pPr>
        <w:spacing w:after="0" w:line="181"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Split: </w:t>
      </w:r>
      <w:r>
        <w:rPr>
          <w:rFonts w:ascii="Times New Roman" w:cs="Times New Roman" w:eastAsia="Times New Roman" w:hAnsi="Times New Roman"/>
          <w:sz w:val="18"/>
          <w:szCs w:val="18"/>
          <w:color w:val="auto"/>
        </w:rPr>
        <w:t>On January 4, 2024, we announced a two-for-one stock split of our Class A and Class B Common Stock. The stock split was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form of a distribution of one additional share of Class A Common Stock for each share outstanding. The record date for the stock split was as of the close of business on January 16, 2024. Our distribution date of the additional shares was January 26, 2024. </w:t>
      </w:r>
      <w:r>
        <w:rPr>
          <w:rFonts w:ascii="Times New Roman" w:cs="Times New Roman" w:eastAsia="Times New Roman" w:hAnsi="Times New Roman"/>
          <w:sz w:val="18"/>
          <w:szCs w:val="18"/>
          <w:color w:val="252530"/>
        </w:rPr>
        <w:t>As a result of the stock split, the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30"/>
        </w:rPr>
        <w:t>authorized shares remained unchanged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52530"/>
        </w:rPr>
        <w:t xml:space="preserve"> Additionally, the par value per share of the common stock remains unchanged. </w:t>
      </w:r>
      <w:r>
        <w:rPr>
          <w:rFonts w:ascii="Times New Roman" w:cs="Times New Roman" w:eastAsia="Times New Roman" w:hAnsi="Times New Roman"/>
          <w:sz w:val="18"/>
          <w:szCs w:val="18"/>
          <w:color w:val="000000"/>
        </w:rPr>
        <w:t>All other share amounts in our</w:t>
      </w:r>
      <w:r>
        <w:rPr>
          <w:rFonts w:ascii="Times New Roman" w:cs="Times New Roman" w:eastAsia="Times New Roman" w:hAnsi="Times New Roman"/>
          <w:sz w:val="18"/>
          <w:szCs w:val="18"/>
          <w:color w:val="252530"/>
        </w:rPr>
        <w:t xml:space="preserve"> </w:t>
      </w:r>
      <w:r>
        <w:rPr>
          <w:rFonts w:ascii="Times New Roman" w:cs="Times New Roman" w:eastAsia="Times New Roman" w:hAnsi="Times New Roman"/>
          <w:sz w:val="18"/>
          <w:szCs w:val="18"/>
          <w:color w:val="000000"/>
        </w:rPr>
        <w:t>consolidated balance sheets, consolidated statements of income and comprehensive income, consolidated statements of stockholders' equity and related footnote disclosures have been adjusted and presented as though the stock split had occurred on January 1, 2021.</w:t>
      </w:r>
    </w:p>
    <w:p>
      <w:pPr>
        <w:spacing w:after="0" w:line="18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financial statements in conformity with United States generally accepted accounting principles requires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estimates and assumptions that affect the reported amounts of assets and liabilities and disclosure of contingent assets and liabilities at the date of the financial statements and the reported amounts of revenue and expense during the reporting period. Significant estimates include the allowance for uncollectible trade accounts, exposure for self-insured claims under our insurance policies, valuation of acquired goodwill and intangible assets and useful lives of assets. Actual results could differ from these estimates.</w:t>
      </w:r>
    </w:p>
    <w:p>
      <w:pPr>
        <w:spacing w:after="0" w:line="75"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Due to presentation changes made in Note 7 to the consolidated financial statements under “Income Taxes,” certain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have been reclassified to conform with the current year presentation.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Capital Structure</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authorized common stock comprised of Class A Common Stock and Class B Common Stock. The rights of holders of Class A Common Stock and Class B Common Stock are identical, except each share of Class B Common Stock entitles its holder to approximately 84 votes, while each share of Class A Common Stock entitles its holder to one vote. We have authorized 2,000,000 shares of preferred stock.</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reconciliation of our earnings per share (in thousands, except for per share data):</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9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104,043</w:t>
            </w:r>
          </w:p>
        </w:tc>
        <w:tc>
          <w:tcPr>
            <w:tcW w:w="3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3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356,948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Hub Group, Inc.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103,993</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356,948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66,418</w:t>
            </w:r>
          </w:p>
        </w:tc>
        <w:tc>
          <w:tcPr>
            <w:tcW w:w="0" w:type="dxa"/>
            <w:vAlign w:val="bottom"/>
          </w:tcPr>
          <w:p>
            <w:pPr>
              <w:spacing w:after="0"/>
              <w:rPr>
                <w:sz w:val="1"/>
                <w:szCs w:val="1"/>
                <w:color w:val="auto"/>
              </w:rPr>
            </w:pPr>
          </w:p>
        </w:tc>
      </w:tr>
      <w:tr>
        <w:trPr>
          <w:trHeight w:val="411"/>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Dilutive effect of restricted stock</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39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61,104</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63,954</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67,118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 net income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10"/>
        </w:trPr>
        <w:tc>
          <w:tcPr>
            <w:tcW w:w="6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Business Combinations</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EASO Transaction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October 23, 2024, we entered into an investment agreement with Corporación Interamericana de Logística, S.A. de C.V. and certain associated entities (commonly known as “EASO”), a family-led, intermodal and trucking logistics provider headquartered in Mexico City to acquire a controlling interest in EASO. EASO specializes in intermodal, dedicated trucking, truckload and freight brokerage services. Through a network of terminals across Mexico, EASO serves the entire Mexican domestic market and main logistics hubs in the U.S. using its intermodal cross-border network.</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estimated fair value of total consideration transferred was approximately $55 million for a 51% equity stake in EASO. The financial results of EASO, since the date of acquisition, are included in our ITS segment.</w:t>
      </w:r>
    </w:p>
    <w:p>
      <w:pPr>
        <w:spacing w:after="0" w:line="54"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EASO investment transaction expanded our intermodal and transportation solutions business. With a substantial increase in cross-border trade activity from nearshoring, this transaction improves our ability to provide a cross-border service offering and provides increased intermodal conversion opportunities.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initial accounting for the EASO transaction is incomplete as we, with the support of our valuation specialist, are in the process of finalizing the fair market value calculations of the acquired net assets as well as non-controlling interests. In addition, we are in the preparation and review process of the applicable future cash flows used in determining the purchase accounting. Finally, certain post-closing activities outlined in the investment agreement remain incomplete. As a result, the amounts recorded in the consolidated financial statements related to the EASO transaction are preliminary and the measurement period remains 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spacing w:after="0" w:line="86"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to the assets acquired and liabilities assumed as of the date of the investment agreement (in thousands):</w:t>
      </w:r>
    </w:p>
    <w:p>
      <w:pPr>
        <w:spacing w:after="0" w:line="380" w:lineRule="exact"/>
        <w:rPr>
          <w:sz w:val="20"/>
          <w:szCs w:val="20"/>
          <w:color w:val="auto"/>
        </w:rPr>
      </w:pPr>
    </w:p>
    <w:tbl>
      <w:tblPr>
        <w:tblLayout w:type="fixed"/>
        <w:tblInd w:w="260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October 23, 2024</w:t>
            </w:r>
          </w:p>
        </w:tc>
      </w:tr>
      <w:tr>
        <w:trPr>
          <w:trHeight w:val="18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trade, net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Prepaid taxes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36,661</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43,398</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6"/>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126,096</w:t>
            </w:r>
          </w:p>
        </w:tc>
      </w:tr>
      <w:tr>
        <w:trPr>
          <w:trHeight w:val="381"/>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trade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other</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 operating leases (current)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 operating leases (non-current)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6"/>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22,384</w:t>
            </w:r>
          </w:p>
        </w:tc>
      </w:tr>
      <w:tr>
        <w:trPr>
          <w:trHeight w:val="381"/>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Less: non-controlling interests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48,996</w:t>
            </w:r>
          </w:p>
        </w:tc>
      </w:tr>
      <w:tr>
        <w:trPr>
          <w:trHeight w:val="182"/>
        </w:trPr>
        <w:tc>
          <w:tcPr>
            <w:tcW w:w="44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Consideration transferred for 51% ownership</w:t>
            </w:r>
          </w:p>
        </w:tc>
        <w:tc>
          <w:tcPr>
            <w:tcW w:w="14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54,716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Less: contingent consideration due to sellers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182"/>
        </w:trPr>
        <w:tc>
          <w:tcPr>
            <w:tcW w:w="44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Cash contributed for 51% ownership</w:t>
            </w:r>
          </w:p>
        </w:tc>
        <w:tc>
          <w:tcPr>
            <w:tcW w:w="14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50,995</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Less: deferred cash consideration</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30,639</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paid,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18,338</w:t>
            </w: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preliminary estimated acquisition date fair value of consideration transferred and purchase price allocation.</w:t>
      </w:r>
    </w:p>
    <w:p>
      <w:pPr>
        <w:sectPr>
          <w:pgSz w:w="11900" w:h="16838" w:orient="portrait"/>
          <w:cols w:equalWidth="0" w:num="1">
            <w:col w:w="11240"/>
          </w:cols>
          <w:pgMar w:left="320" w:top="1440" w:right="339" w:bottom="1440" w:gutter="0" w:footer="0" w:header="0"/>
        </w:sectPr>
      </w:pPr>
    </w:p>
    <w:p>
      <w:pPr>
        <w:spacing w:after="0" w:line="33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Cash</w:t>
      </w:r>
    </w:p>
    <w:p>
      <w:pPr>
        <w:spacing w:after="0" w:line="2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Deferred cash consideration</w:t>
      </w:r>
    </w:p>
    <w:p>
      <w:pPr>
        <w:spacing w:after="0" w:line="2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Contingent consideration</w:t>
      </w:r>
    </w:p>
    <w:p>
      <w:pPr>
        <w:spacing w:after="0" w:line="2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Total consideration transferred</w:t>
      </w:r>
    </w:p>
    <w:p>
      <w:pPr>
        <w:spacing w:after="0" w:line="2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Non-controlling interests</w:t>
      </w:r>
    </w:p>
    <w:p>
      <w:pPr>
        <w:spacing w:after="0" w:line="57"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6"/>
          <w:szCs w:val="16"/>
          <w:b w:val="1"/>
          <w:bCs w:val="1"/>
          <w:color w:val="auto"/>
        </w:rPr>
        <w:t>Total purchase price allocation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6"/>
          <w:szCs w:val="16"/>
          <w:b w:val="1"/>
          <w:bCs w:val="1"/>
          <w:color w:val="auto"/>
        </w:rPr>
        <w:t>October 23, 2024</w:t>
      </w:r>
    </w:p>
    <w:p>
      <w:pPr>
        <w:spacing w:after="0" w:line="34" w:lineRule="exact"/>
        <w:rPr>
          <w:sz w:val="20"/>
          <w:szCs w:val="20"/>
          <w:color w:val="auto"/>
        </w:rPr>
      </w:pPr>
    </w:p>
    <w:p>
      <w:pPr>
        <w:ind w:left="1080" w:hanging="1078"/>
        <w:spacing w:after="0"/>
        <w:tabs>
          <w:tab w:leader="none" w:pos="10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20,356</w:t>
      </w:r>
    </w:p>
    <w:p>
      <w:pPr>
        <w:spacing w:after="0" w:line="26"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30,639</w:t>
      </w:r>
    </w:p>
    <w:p>
      <w:pPr>
        <w:spacing w:after="0" w:line="18"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3,721</w:t>
      </w:r>
    </w:p>
    <w:p>
      <w:pPr>
        <w:spacing w:after="0" w:line="24"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54,716</w:t>
      </w:r>
    </w:p>
    <w:p>
      <w:pPr>
        <w:spacing w:after="0" w:line="26"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-643890</wp:posOffset>
            </wp:positionV>
            <wp:extent cx="9861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-249555</wp:posOffset>
            </wp:positionV>
            <wp:extent cx="986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 w:lineRule="exact"/>
        <w:rPr>
          <w:sz w:val="20"/>
          <w:szCs w:val="20"/>
          <w:color w:val="auto"/>
        </w:rPr>
      </w:pPr>
    </w:p>
    <w:p>
      <w:pPr>
        <w:ind w:left="1000" w:hanging="998"/>
        <w:spacing w:after="0"/>
        <w:tabs>
          <w:tab w:leader="none" w:pos="100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103,712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9861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21590</wp:posOffset>
            </wp:positionV>
            <wp:extent cx="986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38735</wp:posOffset>
            </wp:positionV>
            <wp:extent cx="9861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6380" w:space="720"/>
            <w:col w:w="4140"/>
          </w:cols>
          <w:pgMar w:left="320" w:top="1440" w:right="339" w:bottom="1440" w:gutter="0" w:footer="0" w:header="0"/>
          <w:type w:val="continuous"/>
        </w:sectPr>
      </w:pPr>
    </w:p>
    <w:p>
      <w:pPr>
        <w:spacing w:after="0" w:line="24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EASO transaction was accounted for as a purchase business combination in accordance with ASC 805 “Business Combinations.” In connection with the transaction, we performed a consolidation analysis concluding that we control all EASO entities through either a majority voting interest or as the primary beneficiary of a variable interest entity. As a result, 100% of assets acquired, liabilities assumed and non-controlling interests were recorded in the accompanying Consolidated Balance Sheet at their estimated fair values as of October 23, 2024, with the remaining unallocated purchase price recorded as goodwill. The goodwill recognized in the EASO transaction was primarily attributable to potential expansion and future development of the business. This goodwill is not expected to be deductible for tax purposes.</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6" w:name="page47"/>
    <w:bookmarkEnd w:id="46"/>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Total consideration transferred includes $30.6 million of deferred cash consideration, all or a portion of which may be paid at least two years after the closing date of the transaction. As a result of the restrictions on this deferred consideration in the investment agreement, we have classified the associated cash as Restricted Cash in the accompanying Consolidated Balance Sheet. As of December 31, 2024, the balances of Deferred Consideration and Restricted Cash were $30.6 million and $28.7 million, respectively, on the Consolidated Balance Sheets.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Total consideration transferred includes $3.7 million of contingent consideration related to certain operating tax balances existing prior to the transaction for which we have agreed to reimburse the full amount of cash collected within two years of the closing date of the transaction. The estimated fair value of such contingent consideration is based on estimated collectability of such operating tax balances within the agreed timeframe.</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investment in one of the EASO entities, Corporación Interamericana de Logística, S.A. de C.V. (“CIL”), qualifies as a Variable Interest Entity (“VIE”). Based on the rights provided in the investment and shareholder agreements, as well as the design of the VIE, our majority exposure to the variability associated with economic performance of the VIE, and the relationship and significance of activities of the VIE to us, we determined that we are most closely associated with the VIE and are therefore considered the primary beneficiary.</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a period from 2030 to 2032, Hub will have the right, but not the obligation, to purchase an amount of issued and outstanding shares of EASO such that, upon exercising this call right, we would own 80% of all of the issued and outstanding shares of EASO at a purchase price based on earnings multiples as defined in the shareholders agreement. We evaluated this call right and concluded that it does not meet the definition of a derivative, resulting in the non-controlling interest and embedded call right being classified as permanent equity.</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incurred approximately $2.8 million of transaction costs associated with the transaction in 2024 that were expensed as incurred and are reflected in general and administrative expense in the accompanying Consolidated Statements of Income.</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components of “Other intangibles” listed in the above table as of the transaction date are preliminarily estimated based on prior acquisitions as follows (in thousands):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Closing Date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31,661</w:t>
            </w:r>
          </w:p>
        </w:tc>
        <w:tc>
          <w:tcPr>
            <w:tcW w:w="340" w:type="dxa"/>
            <w:vAlign w:val="bottom"/>
          </w:tcPr>
          <w:p>
            <w:pPr>
              <w:spacing w:after="0"/>
              <w:rPr>
                <w:sz w:val="16"/>
                <w:szCs w:val="16"/>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32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31,151</w:t>
            </w:r>
          </w:p>
        </w:tc>
        <w:tc>
          <w:tcPr>
            <w:tcW w:w="100" w:type="dxa"/>
            <w:vAlign w:val="bottom"/>
          </w:tcPr>
          <w:p>
            <w:pPr>
              <w:spacing w:after="0"/>
              <w:rPr>
                <w:sz w:val="16"/>
                <w:szCs w:val="16"/>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 years</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 years</w:t>
            </w:r>
          </w:p>
        </w:tc>
        <w:tc>
          <w:tcPr>
            <w:tcW w:w="0" w:type="dxa"/>
            <w:vAlign w:val="bottom"/>
          </w:tcPr>
          <w:p>
            <w:pPr>
              <w:spacing w:after="0"/>
              <w:rPr>
                <w:sz w:val="1"/>
                <w:szCs w:val="1"/>
                <w:color w:val="auto"/>
              </w:rPr>
            </w:pPr>
          </w:p>
        </w:tc>
      </w:tr>
      <w:tr>
        <w:trPr>
          <w:trHeight w:val="196"/>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36,661</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 of translation</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(1,094 )</w:t>
            </w: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Ending Balance</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above intangible assets are amortized using the straight-line method. Amortization expense related to this transaction for the year ended December 31, 2024 was $0.6 million. The intangible assets have a weighted average useful life of approximately 10.54 years as of December 31, 2024.</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Amortization expense related to EASO investment agreement for the next five years is estimated as follows (in thousands):</w:t>
      </w:r>
    </w:p>
    <w:p>
      <w:pPr>
        <w:spacing w:after="0" w:line="120" w:lineRule="exact"/>
        <w:rPr>
          <w:sz w:val="20"/>
          <w:szCs w:val="20"/>
          <w:color w:val="auto"/>
        </w:rPr>
      </w:pPr>
    </w:p>
    <w:tbl>
      <w:tblPr>
        <w:tblLayout w:type="fixed"/>
        <w:tblInd w:w="4540" w:type="dxa"/>
        <w:tblCellMar>
          <w:top w:w="0" w:type="dxa"/>
          <w:left w:w="0" w:type="dxa"/>
          <w:bottom w:w="0" w:type="dxa"/>
          <w:right w:w="0" w:type="dxa"/>
        </w:tblCellMar>
      </w:tblPr>
      <w:tr>
        <w:trPr>
          <w:trHeight w:val="212"/>
        </w:trPr>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170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3"/>
              </w:rPr>
              <w:t>2025</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r>
      <w:tr>
        <w:trPr>
          <w:trHeight w:val="203"/>
        </w:trPr>
        <w:tc>
          <w:tcPr>
            <w:tcW w:w="170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3"/>
              </w:rPr>
              <w:t>2026</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r>
      <w:tr>
        <w:trPr>
          <w:trHeight w:val="203"/>
        </w:trPr>
        <w:tc>
          <w:tcPr>
            <w:tcW w:w="170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3"/>
              </w:rPr>
              <w:t>2027</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r>
      <w:tr>
        <w:trPr>
          <w:trHeight w:val="202"/>
        </w:trPr>
        <w:tc>
          <w:tcPr>
            <w:tcW w:w="170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3"/>
              </w:rPr>
              <w:t>2028</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r>
      <w:tr>
        <w:trPr>
          <w:trHeight w:val="210"/>
        </w:trPr>
        <w:tc>
          <w:tcPr>
            <w:tcW w:w="170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3"/>
              </w:rPr>
              <w:t>2029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r>
    </w:tbl>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From the date of the transaction through December 31, 2024, EASO's revenue was $20.3 million and operating income was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Forward Air Final Mile Acquisition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20, 2023, we acquired 100% of the equity interest of Forward Air Final Mile (“FAFM”). FAFM provides residential last mile delivery services and installation of big and bulky goods, with a focus on appliances, throughout the United States. Total consideration for the transaction was $257.2 million. $260.9 million was paid in cash in December 2023 while $3.7 million was received from the seller in the second quarter of 2024 as part of the post-closing true-up of net working capital. The financial results of FAFM, since the date of acquisition, are included in our Logistics segment.</w:t>
      </w:r>
    </w:p>
    <w:p>
      <w:pPr>
        <w:spacing w:after="0" w:line="72" w:lineRule="exact"/>
        <w:rPr>
          <w:sz w:val="20"/>
          <w:szCs w:val="20"/>
          <w:color w:val="auto"/>
        </w:rPr>
      </w:pPr>
    </w:p>
    <w:p>
      <w:pPr>
        <w:jc w:val="both"/>
        <w:ind w:firstLine="430"/>
        <w:spacing w:after="0" w:line="282" w:lineRule="auto"/>
        <w:rPr>
          <w:sz w:val="20"/>
          <w:szCs w:val="20"/>
          <w:color w:val="auto"/>
        </w:rPr>
      </w:pPr>
      <w:r>
        <w:rPr>
          <w:rFonts w:ascii="Times New Roman" w:cs="Times New Roman" w:eastAsia="Times New Roman" w:hAnsi="Times New Roman"/>
          <w:sz w:val="18"/>
          <w:szCs w:val="18"/>
          <w:color w:val="auto"/>
        </w:rPr>
        <w:t xml:space="preserve">The FAFM acquisition expanded our </w:t>
      </w:r>
      <w:r>
        <w:rPr>
          <w:rFonts w:ascii="Times New Roman" w:cs="Times New Roman" w:eastAsia="Times New Roman" w:hAnsi="Times New Roman"/>
          <w:sz w:val="18"/>
          <w:szCs w:val="18"/>
          <w:color w:val="231F20"/>
        </w:rPr>
        <w:t>final mile services to include the delivery and installation of appliances.</w:t>
      </w:r>
      <w:r>
        <w:rPr>
          <w:rFonts w:ascii="Times New Roman" w:cs="Times New Roman" w:eastAsia="Times New Roman" w:hAnsi="Times New Roman"/>
          <w:sz w:val="18"/>
          <w:szCs w:val="18"/>
          <w:color w:val="auto"/>
        </w:rPr>
        <w:t xml:space="preserve"> FAFM provides residential last mile delivery services through a non-asset business model, working with a network of over 350 carriers throughout the country.</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refined inputs incorporated into the fair market value calculations during 2024, we have estimated that the fair value of intangible assets totals $95.1 million as of December 31, 2024. This represents a $39.4 million decrease relative to the initial estimated fair value of the intangible assets and results in a corresponding increase to goodwill.</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consideration to the assets acquired and liabilities assumed as of the date of the acquisition (in thousands):</w:t>
      </w:r>
    </w:p>
    <w:p>
      <w:pPr>
        <w:spacing w:after="0" w:line="56" w:lineRule="exact"/>
        <w:rPr>
          <w:sz w:val="20"/>
          <w:szCs w:val="20"/>
          <w:color w:val="auto"/>
        </w:rPr>
      </w:pPr>
    </w:p>
    <w:tbl>
      <w:tblPr>
        <w:tblLayout w:type="fixed"/>
        <w:tblInd w:w="234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20, 2023</w:t>
            </w:r>
          </w:p>
        </w:tc>
      </w:tr>
      <w:tr>
        <w:trPr>
          <w:trHeight w:val="188"/>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trade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28,086</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15,258</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intangibles</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95,100</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142,433</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4"/>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Total assets acquired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285,779</w:t>
            </w:r>
          </w:p>
        </w:tc>
      </w:tr>
      <w:tr>
        <w:trPr>
          <w:trHeight w:val="38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trade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other</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9,562</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 operating leases short-term</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 operating leases long-term</w:t>
            </w: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9,560</w:t>
            </w:r>
          </w:p>
        </w:tc>
      </w:tr>
      <w:tr>
        <w:trPr>
          <w:trHeight w:val="204"/>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28,562</w:t>
            </w:r>
          </w:p>
        </w:tc>
      </w:tr>
      <w:tr>
        <w:trPr>
          <w:trHeight w:val="3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257,217</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85"/>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Cash paid, net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257,217</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FAFM acquisition was accounted for as a purchase business combination in accordance with ASC 805 “Business Combinations.” Assets acquired and liabilities assumed were recorded in the accompanying consolidated balance sheet at their fair values as of December 20, 2023, with the remaining unallocated purchase price recorded as goodwill. The goodwill recognized in the FAFM acquisition was primarily attributable to potential expansion and future development of the acquired business.</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Tax history and attributes are not inherited in an equity purchase of this kind, however, the goodwill and other intangibles recognized in this purchase will be fully tax deductible over a period of 15 years.</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incurred approximately $5.1 million of transaction costs associated with this transaction prior to the closing date that are reflected in general and administrative expense and insurance and claims expense in the accompanying Consolidated Statements of Income for the year ended December 31, 2023.</w:t>
      </w:r>
    </w:p>
    <w:p>
      <w:pPr>
        <w:spacing w:after="0" w:line="54"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components of “Other intangibles” listed in the above table as of the acquisition date are based on fair market valuations with amounts as follows (in thousands):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Closing Date</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w:t>
            </w:r>
          </w:p>
        </w:tc>
      </w:tr>
      <w:tr>
        <w:trPr>
          <w:trHeight w:val="212"/>
        </w:trPr>
        <w:tc>
          <w:tcPr>
            <w:tcW w:w="3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188"/>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92,900</w:t>
            </w:r>
          </w:p>
        </w:tc>
        <w:tc>
          <w:tcPr>
            <w:tcW w:w="36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7,444</w:t>
            </w:r>
          </w:p>
        </w:tc>
        <w:tc>
          <w:tcPr>
            <w:tcW w:w="32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85,456</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 years</w:t>
            </w: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5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 years</w:t>
            </w:r>
          </w:p>
        </w:tc>
      </w:tr>
      <w:tr>
        <w:trPr>
          <w:trHeight w:val="20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Independent service provider network</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year</w:t>
            </w:r>
          </w:p>
        </w:tc>
      </w:tr>
    </w:tbl>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above intangible assets are amortized using the straight-line method. Amortization expense related to this acquisition for the year ended December 31, 2024 was $8.6 million. The intangible assets have a remaining weighted average useful life of approximately 11.84 years as of December 31, 2024.</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Amortization expense related to FAFM for the next five years is expected to be as follows (in thousands):</w:t>
      </w:r>
    </w:p>
    <w:p>
      <w:pPr>
        <w:spacing w:after="0" w:line="120" w:lineRule="exact"/>
        <w:rPr>
          <w:sz w:val="20"/>
          <w:szCs w:val="20"/>
          <w:color w:val="auto"/>
        </w:rPr>
      </w:pPr>
    </w:p>
    <w:tbl>
      <w:tblPr>
        <w:tblLayout w:type="fixed"/>
        <w:tblInd w:w="448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162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3"/>
              </w:rPr>
              <w:t>2025</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7,721</w:t>
            </w:r>
          </w:p>
        </w:tc>
      </w:tr>
      <w:tr>
        <w:trPr>
          <w:trHeight w:val="203"/>
        </w:trPr>
        <w:tc>
          <w:tcPr>
            <w:tcW w:w="162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3"/>
              </w:rPr>
              <w:t>2026</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w:t>
            </w:r>
          </w:p>
        </w:tc>
      </w:tr>
      <w:tr>
        <w:trPr>
          <w:trHeight w:val="203"/>
        </w:trPr>
        <w:tc>
          <w:tcPr>
            <w:tcW w:w="162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3"/>
              </w:rPr>
              <w:t>2027</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w:t>
            </w:r>
          </w:p>
        </w:tc>
      </w:tr>
      <w:tr>
        <w:trPr>
          <w:trHeight w:val="203"/>
        </w:trPr>
        <w:tc>
          <w:tcPr>
            <w:tcW w:w="162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3"/>
              </w:rPr>
              <w:t>2028</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w:t>
            </w:r>
          </w:p>
        </w:tc>
      </w:tr>
      <w:tr>
        <w:trPr>
          <w:trHeight w:val="210"/>
        </w:trPr>
        <w:tc>
          <w:tcPr>
            <w:tcW w:w="162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3"/>
              </w:rPr>
              <w:t>2029</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w:t>
            </w:r>
          </w:p>
        </w:tc>
      </w:tr>
    </w:tbl>
    <w:p>
      <w:pPr>
        <w:spacing w:after="0" w:line="31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FAFM's actual results are included in our consolidated financial statements since the acquisition date of December 20, 2023. The following unaudited pro forma consolidated results of operations present the effects of FAFM as though it had been acquired as of January 1, 2023 (in thousands, except for per share amounts):</w:t>
      </w:r>
    </w:p>
    <w:p>
      <w:pPr>
        <w:spacing w:after="0" w:line="70" w:lineRule="exact"/>
        <w:rPr>
          <w:sz w:val="20"/>
          <w:szCs w:val="20"/>
          <w:color w:val="auto"/>
        </w:rPr>
      </w:pPr>
    </w:p>
    <w:tbl>
      <w:tblPr>
        <w:tblLayout w:type="fixed"/>
        <w:tblInd w:w="362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2"/>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8"/>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4,476,469</w:t>
            </w: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192,371</w:t>
            </w: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0"/>
        </w:trPr>
        <w:tc>
          <w:tcPr>
            <w:tcW w:w="2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bl>
    <w:p>
      <w:pPr>
        <w:spacing w:after="0" w:line="200" w:lineRule="exact"/>
        <w:rPr>
          <w:sz w:val="20"/>
          <w:szCs w:val="20"/>
          <w:color w:val="auto"/>
        </w:rPr>
      </w:pPr>
    </w:p>
    <w:p>
      <w:pPr>
        <w:spacing w:after="0" w:line="22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results for the periods above were prepared using the acquisition method of accounting and are based on the historical financial information of Hub and FAFM. The historical financial information has been adjusted to give effect to the pro forma adjustments that are: (i) directly attributable to the acquisition, (ii) factually supportable and (iii) expected to have a continuing impact on the combined results. The unaudited pro forma consolidated results are not necessarily indicative of what our consolidated results of operations actually would have been had we completed the FAFM acquisition as of January 1,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CEO has been identified as our Chief Operating Decision Maker (“CODM”). We have two reportable segments: Intermodal and Transportation Solutions (“ITS”) and Logistics which are based primarily on the services each segment provides. Our ITS segment includes our asset-light business lines: intermodal and dedicated trucking. Our Logistics segment includes our non-asset business lines: managed transportation, truck brokerage, final mile and consolidated fulfillment services. Our CODM uses operating income by segment to make decisions over the allocation of capital and resources and assess the performance of our segments.</w:t>
      </w:r>
    </w:p>
    <w:p>
      <w:pPr>
        <w:spacing w:after="0" w:line="7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Intermodal and Transportation Solutions. </w:t>
      </w:r>
      <w:r>
        <w:rPr>
          <w:rFonts w:ascii="Times New Roman" w:cs="Times New Roman" w:eastAsia="Times New Roman" w:hAnsi="Times New Roman"/>
          <w:sz w:val="18"/>
          <w:szCs w:val="18"/>
          <w:color w:val="auto"/>
        </w:rPr>
        <w:t>Our ITS segment offers high service, nationwide door-to-door intermodal transportation, providing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visibility and reliability in both transcontinental and local lanes by combining rail transportation with local trucking. This segment includes our trucking operations which provides our customers with local pickup and delivery (referred to as “drayage”) as well as high service local and regional trucking transportation using equipment dedicated to their needs. We arrange for the movement of our customers’ freight in one of our approximately 50,000 containers. As of December 31, 2024, we operated trucking terminals at 32 locations throughout the United States and Mexico, with locations in many large metropolitan areas. We also contract for services with independent owner-operators who supply their own equipment and operate under our regulatory authority. These assets and contractual services are used to support drayage for our intermodal service offering and to serve our customers who require high service local and regional trucking transportation using equipment dedicated to their needs. We contract with railroads to provide transportation for the long-haul portion of the shipment between rail terminals. Drayage between origin or destination and rail terminals are provided by our own trucking operations and third parties with whom we contract. Our dedicated service operation offers fleets of equipment and drivers to each customer on a contract basis, as well as the management and infrastructure to operate according to the customer’s high service expectations. As of December 31, 2024, our trucking transportation operation consisted of approximately 2,300 tractors, 3,200 employee drivers and 4,700 trailers. We also contract for services with approximately 500 independent owner-operators.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Logistics</w:t>
      </w:r>
      <w:r>
        <w:rPr>
          <w:rFonts w:ascii="Times New Roman" w:cs="Times New Roman" w:eastAsia="Times New Roman" w:hAnsi="Times New Roman"/>
          <w:sz w:val="18"/>
          <w:szCs w:val="18"/>
          <w:color w:val="auto"/>
        </w:rPr>
        <w:t>. Our Logistics segment offers a wide range of services including transportation management, freight brokerage services, shipment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optimization, load consolidation, mode selection, carrier management, load planning and execution, warehousing, fulfillment, cross-docking, consolidation services and final mile delivery. These services include a full range of trucking transportation services, including dry van, expedited, less-than-truckload, refrigerated and flatbed, all of which is provided by third party carriers with whom we contract. We also leverage proprietary technology along with collaborative relationships with third party service providers to deliver cost savings and performance-enhancing supply chain services to our clients. Our transportation management offering also serves as a source of volume for our ITS segment. Many of the customers for these solutions are consumer goods companies who sell into the retail channel. Our final mile delivery offering provides residential final mile delivery and installation of appliances and big and bulky goods. Final mile operates through a network of independent service providers in company, customer and third-party facilities throughout the continental United States. Our business operates or has access to approximately 7 million square feet of warehousing and cross-dock space across North America, to which our customers ship their goods to be stored and distributed to destinations including residences, retail stores and other commercial locations. These services offer our customers shipment visibility, transportation cost savings, high service and compliance with retailers’ increasingly stringent supply chain requirements. Logistics also includes our brokerage business which provides third-party truckload, less-than-truckload (“LTL”), flatbed and temperature-controlled needs.</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summarize our financial data by segment (in thousands):</w:t>
      </w:r>
    </w:p>
    <w:p>
      <w:pPr>
        <w:spacing w:after="0" w:line="268"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980" w:type="dxa"/>
            <w:vAlign w:val="bottom"/>
          </w:tcPr>
          <w:p>
            <w:pPr>
              <w:spacing w:after="0"/>
              <w:rPr>
                <w:sz w:val="17"/>
                <w:szCs w:val="17"/>
                <w:color w:val="auto"/>
              </w:rPr>
            </w:pP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ITS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Logistics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93"/>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2,243,440</w:t>
            </w: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1,829,450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(126,500 )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3,946,390</w:t>
            </w:r>
          </w:p>
        </w:tc>
      </w:tr>
      <w:tr>
        <w:trPr>
          <w:trHeight w:val="397"/>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Purchased transportation and warehousing</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1,590,609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1,465,323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(125,219 )</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Salaries and benefits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Insurance and claims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(1,281 )</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2"/>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allocations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 loss on sale of assets, net</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(1,089 )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2,186,488</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1,746,111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3,806,099</w:t>
            </w:r>
          </w:p>
        </w:tc>
      </w:tr>
      <w:tr>
        <w:trPr>
          <w:trHeight w:val="397"/>
        </w:trPr>
        <w:tc>
          <w:tcPr>
            <w:tcW w:w="4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56,952</w:t>
            </w: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140,291</w:t>
            </w:r>
          </w:p>
        </w:tc>
      </w:tr>
      <w:tr>
        <w:trPr>
          <w:trHeight w:val="20"/>
        </w:trPr>
        <w:tc>
          <w:tcPr>
            <w:tcW w:w="4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980" w:type="dxa"/>
            <w:vAlign w:val="bottom"/>
          </w:tcPr>
          <w:p>
            <w:pPr>
              <w:spacing w:after="0"/>
              <w:rPr>
                <w:sz w:val="17"/>
                <w:szCs w:val="17"/>
                <w:color w:val="auto"/>
              </w:rPr>
            </w:pP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Logistics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93"/>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2,495,663</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1,820,856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(113,934 )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4,202,585</w:t>
            </w:r>
          </w:p>
        </w:tc>
      </w:tr>
      <w:tr>
        <w:trPr>
          <w:trHeight w:val="397"/>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Purchased transportation and warehousing</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1,770,734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(113,120 )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Salaries and benefits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2"/>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Insurance and claims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(814 )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allocations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(6,866 )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2,388,546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1,715,742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(113,934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3,990,354</w:t>
            </w:r>
          </w:p>
        </w:tc>
      </w:tr>
      <w:tr>
        <w:trPr>
          <w:trHeight w:val="397"/>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107,117</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212,231</w:t>
            </w:r>
          </w:p>
        </w:tc>
      </w:tr>
      <w:tr>
        <w:trPr>
          <w:trHeight w:val="20"/>
        </w:trPr>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tbl>
      <w:tblPr>
        <w:tblLayout w:type="fixed"/>
        <w:tblInd w:w="64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980" w:type="dxa"/>
            <w:vAlign w:val="bottom"/>
          </w:tcPr>
          <w:p>
            <w:pPr>
              <w:spacing w:after="0"/>
              <w:rPr>
                <w:sz w:val="17"/>
                <w:szCs w:val="17"/>
                <w:color w:val="auto"/>
              </w:rPr>
            </w:pP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Logistics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93"/>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3,312,431</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2,121,818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(93,759 )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5,340,490</w:t>
            </w:r>
          </w:p>
        </w:tc>
      </w:tr>
      <w:tr>
        <w:trPr>
          <w:trHeight w:val="397"/>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Purchased transportation and warehousing</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2,354,414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1,775,365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(93,276 )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Salaries and benefits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Insurance and claims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allocations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(24,317 )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2,963,894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1,995,634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(93,759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4,865,769</w:t>
            </w:r>
          </w:p>
        </w:tc>
      </w:tr>
      <w:tr>
        <w:trPr>
          <w:trHeight w:val="397"/>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348,537</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474,721</w:t>
            </w:r>
          </w:p>
        </w:tc>
      </w:tr>
      <w:tr>
        <w:trPr>
          <w:trHeight w:val="20"/>
        </w:trPr>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Separate balance sheets are not presented by segment to our CODM. Our CODM uses consolidated asset information to make capital decisions.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goodwill is allocated between two reporting units, ITS and Logistics. In accordance with the FASB issued guidance in the Intangibles-Goodwill and Other Topic of the Codification, we completed the required annual impairment assessment, concluding it was not more-likely-than-not that the fair value of either of our reporting units was less than the respective carrying value. There were no accumulated impairment losses of goodwill at the beginning of the period.</w:t>
      </w: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carrying amount of Goodwill by segment (in thousands):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Logistics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88"/>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2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371,641</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257,761</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629,402</w:t>
            </w:r>
          </w:p>
        </w:tc>
        <w:tc>
          <w:tcPr>
            <w:tcW w:w="60" w:type="dxa"/>
            <w:vAlign w:val="bottom"/>
          </w:tcPr>
          <w:p>
            <w:pPr>
              <w:spacing w:after="0"/>
              <w:rPr>
                <w:sz w:val="16"/>
                <w:szCs w:val="16"/>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104,293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104,293</w:t>
            </w:r>
          </w:p>
        </w:tc>
        <w:tc>
          <w:tcPr>
            <w:tcW w:w="60" w:type="dxa"/>
            <w:vAlign w:val="bottom"/>
          </w:tcPr>
          <w:p>
            <w:pPr>
              <w:spacing w:after="0"/>
              <w:rPr>
                <w:sz w:val="18"/>
                <w:szCs w:val="18"/>
                <w:color w:val="auto"/>
              </w:rPr>
            </w:pPr>
          </w:p>
        </w:tc>
      </w:tr>
      <w:tr>
        <w:trPr>
          <w:trHeight w:val="188"/>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371,641</w:t>
            </w:r>
          </w:p>
        </w:tc>
        <w:tc>
          <w:tcPr>
            <w:tcW w:w="12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362,054</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733,695</w:t>
            </w:r>
          </w:p>
        </w:tc>
        <w:tc>
          <w:tcPr>
            <w:tcW w:w="60" w:type="dxa"/>
            <w:vAlign w:val="bottom"/>
          </w:tcPr>
          <w:p>
            <w:pPr>
              <w:spacing w:after="0"/>
              <w:rPr>
                <w:sz w:val="16"/>
                <w:szCs w:val="16"/>
                <w:color w:val="auto"/>
              </w:rPr>
            </w:pP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81,908</w:t>
            </w:r>
          </w:p>
        </w:tc>
        <w:tc>
          <w:tcPr>
            <w:tcW w:w="60" w:type="dxa"/>
            <w:vAlign w:val="bottom"/>
          </w:tcPr>
          <w:p>
            <w:pPr>
              <w:spacing w:after="0"/>
              <w:rPr>
                <w:sz w:val="17"/>
                <w:szCs w:val="17"/>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9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(1,295 )</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(1,295 )</w:t>
            </w:r>
          </w:p>
        </w:tc>
      </w:tr>
      <w:tr>
        <w:trPr>
          <w:trHeight w:val="202"/>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2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413,744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400,564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814,309</w:t>
            </w:r>
          </w:p>
        </w:tc>
        <w:tc>
          <w:tcPr>
            <w:tcW w:w="6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components of the "Other intangible assets” are as follows (in thousands):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8"/>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04"/>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372,690</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119,146</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253,544</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 years</w:t>
            </w:r>
          </w:p>
        </w:tc>
      </w:tr>
      <w:tr>
        <w:trPr>
          <w:trHeight w:val="3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Carrier network and independent contractor relationships</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405"/>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 years</w:t>
            </w:r>
          </w:p>
        </w:tc>
      </w:tr>
      <w:tr>
        <w:trPr>
          <w:trHeight w:val="41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 months to 15 years</w:t>
            </w:r>
          </w:p>
        </w:tc>
      </w:tr>
      <w:tr>
        <w:trPr>
          <w:trHeight w:val="196"/>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411,590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144,233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267,357</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8"/>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04"/>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376,956</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92,827</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284,129</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5-15 years</w:t>
            </w:r>
          </w:p>
        </w:tc>
      </w:tr>
      <w:tr>
        <w:trPr>
          <w:trHeight w:val="3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Carrier network and independent contractor relationships</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405"/>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13,976</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 years</w:t>
            </w:r>
          </w:p>
        </w:tc>
      </w:tr>
      <w:tr>
        <w:trPr>
          <w:trHeight w:val="41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 months</w:t>
            </w:r>
          </w:p>
        </w:tc>
      </w:tr>
      <w:tr>
        <w:trPr>
          <w:trHeight w:val="196"/>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415,379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110,772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304,607</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281"/>
        <w:spacing w:after="0" w:line="266" w:lineRule="auto"/>
        <w:rPr>
          <w:sz w:val="20"/>
          <w:szCs w:val="20"/>
          <w:color w:val="auto"/>
        </w:rPr>
      </w:pPr>
      <w:r>
        <w:rPr>
          <w:rFonts w:ascii="Times New Roman" w:cs="Times New Roman" w:eastAsia="Times New Roman" w:hAnsi="Times New Roman"/>
          <w:sz w:val="18"/>
          <w:szCs w:val="18"/>
          <w:color w:val="auto"/>
        </w:rPr>
        <w:t>The above intangible assets are amortized using the straight-line method. Amortization expense was $33.5 million and $27.2 million for the years ended December 31, 2024 and 2023, respectively. The remaining weighted average life of all definite lived intangible assets was 9.69 years and 11.32 years for the years ended December 31, 2024 and 2023, respectively.</w:t>
      </w:r>
    </w:p>
    <w:p>
      <w:pPr>
        <w:spacing w:after="0" w:line="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Amortization expense for the next five years is expected to be as follows (in thousands):</w:t>
      </w:r>
    </w:p>
    <w:p>
      <w:pPr>
        <w:spacing w:after="0" w:line="255" w:lineRule="exact"/>
        <w:rPr>
          <w:sz w:val="20"/>
          <w:szCs w:val="20"/>
          <w:color w:val="auto"/>
        </w:rPr>
      </w:pPr>
    </w:p>
    <w:tbl>
      <w:tblPr>
        <w:tblLayout w:type="fixed"/>
        <w:tblInd w:w="442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Year 1</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34,260</w:t>
            </w: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Year 2</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30,985</w:t>
            </w: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Year 3</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30,697</w:t>
            </w:r>
          </w:p>
        </w:tc>
      </w:tr>
      <w:tr>
        <w:trPr>
          <w:trHeight w:val="20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Year 4</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29,406</w:t>
            </w: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Year 5</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22,696</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reconciliation of our effective tax rate to the federal statutory tax rate:</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5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2"/>
        </w:trPr>
        <w:tc>
          <w:tcPr>
            <w:tcW w:w="45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U.S. federal statutory rate</w:t>
            </w:r>
          </w:p>
        </w:tc>
        <w:tc>
          <w:tcPr>
            <w:tcW w:w="10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5"/>
                <w:szCs w:val="15"/>
                <w:color w:val="auto"/>
              </w:rPr>
            </w:pPr>
          </w:p>
        </w:tc>
        <w:tc>
          <w:tcPr>
            <w:tcW w:w="340" w:type="dxa"/>
            <w:vAlign w:val="bottom"/>
          </w:tcPr>
          <w:p>
            <w:pPr>
              <w:jc w:val="right"/>
              <w:ind w:right="99"/>
              <w:spacing w:after="0" w:line="182"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14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5"/>
                <w:szCs w:val="15"/>
                <w:color w:val="auto"/>
              </w:rPr>
            </w:pPr>
          </w:p>
        </w:tc>
        <w:tc>
          <w:tcPr>
            <w:tcW w:w="740" w:type="dxa"/>
            <w:vAlign w:val="bottom"/>
          </w:tcPr>
          <w:p>
            <w:pPr>
              <w:jc w:val="right"/>
              <w:ind w:right="49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Federal and state incentives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340" w:type="dxa"/>
            <w:vAlign w:val="bottom"/>
          </w:tcPr>
          <w:p>
            <w:pPr>
              <w:spacing w:after="0"/>
              <w:rPr>
                <w:sz w:val="17"/>
                <w:szCs w:val="17"/>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74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160" w:type="dxa"/>
            <w:vAlign w:val="bottom"/>
          </w:tcPr>
          <w:p>
            <w:pPr>
              <w:spacing w:after="0"/>
              <w:rPr>
                <w:sz w:val="17"/>
                <w:szCs w:val="17"/>
                <w:color w:val="auto"/>
              </w:rPr>
            </w:pPr>
          </w:p>
        </w:tc>
      </w:tr>
      <w:tr>
        <w:trPr>
          <w:trHeight w:val="20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Unrecognized tax benefits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340" w:type="dxa"/>
            <w:vAlign w:val="bottom"/>
          </w:tcPr>
          <w:p>
            <w:pPr>
              <w:spacing w:after="0"/>
              <w:rPr>
                <w:sz w:val="17"/>
                <w:szCs w:val="17"/>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7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Valuation allowance for deferred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74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(0.7 )</w:t>
            </w:r>
          </w:p>
        </w:tc>
        <w:tc>
          <w:tcPr>
            <w:tcW w:w="160" w:type="dxa"/>
            <w:vAlign w:val="bottom"/>
          </w:tcPr>
          <w:p>
            <w:pPr>
              <w:spacing w:after="0"/>
              <w:rPr>
                <w:sz w:val="17"/>
                <w:szCs w:val="17"/>
                <w:color w:val="auto"/>
              </w:rPr>
            </w:pPr>
          </w:p>
        </w:tc>
      </w:tr>
      <w:tr>
        <w:trPr>
          <w:trHeight w:val="20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law changes</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160" w:type="dxa"/>
            <w:vAlign w:val="bottom"/>
          </w:tcPr>
          <w:p>
            <w:pPr>
              <w:spacing w:after="0"/>
              <w:rPr>
                <w:sz w:val="17"/>
                <w:szCs w:val="17"/>
                <w:color w:val="auto"/>
              </w:rPr>
            </w:pPr>
          </w:p>
        </w:tc>
      </w:tr>
      <w:tr>
        <w:trPr>
          <w:trHeight w:val="20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of stock-based compensation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340" w:type="dxa"/>
            <w:vAlign w:val="bottom"/>
          </w:tcPr>
          <w:p>
            <w:pPr>
              <w:spacing w:after="0"/>
              <w:rPr>
                <w:sz w:val="17"/>
                <w:szCs w:val="17"/>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(0.6 )</w:t>
            </w:r>
          </w:p>
        </w:tc>
        <w:tc>
          <w:tcPr>
            <w:tcW w:w="740" w:type="dxa"/>
            <w:vAlign w:val="bottom"/>
          </w:tcPr>
          <w:p>
            <w:pPr>
              <w:spacing w:after="0"/>
              <w:rPr>
                <w:sz w:val="17"/>
                <w:szCs w:val="17"/>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(0.4 )</w:t>
            </w:r>
          </w:p>
        </w:tc>
        <w:tc>
          <w:tcPr>
            <w:tcW w:w="160" w:type="dxa"/>
            <w:vAlign w:val="bottom"/>
          </w:tcPr>
          <w:p>
            <w:pPr>
              <w:spacing w:after="0"/>
              <w:rPr>
                <w:sz w:val="17"/>
                <w:szCs w:val="17"/>
                <w:color w:val="auto"/>
              </w:rPr>
            </w:pPr>
          </w:p>
        </w:tc>
      </w:tr>
      <w:tr>
        <w:trPr>
          <w:trHeight w:val="20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Nondeductible 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(0.8 )</w:t>
            </w:r>
          </w:p>
        </w:tc>
        <w:tc>
          <w:tcPr>
            <w:tcW w:w="340" w:type="dxa"/>
            <w:vAlign w:val="bottom"/>
          </w:tcPr>
          <w:p>
            <w:pPr>
              <w:spacing w:after="0"/>
              <w:rPr>
                <w:sz w:val="18"/>
                <w:szCs w:val="18"/>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7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60" w:type="dxa"/>
            <w:vAlign w:val="bottom"/>
          </w:tcPr>
          <w:p>
            <w:pPr>
              <w:spacing w:after="0"/>
              <w:rPr>
                <w:sz w:val="18"/>
                <w:szCs w:val="18"/>
                <w:color w:val="auto"/>
              </w:rPr>
            </w:pPr>
          </w:p>
        </w:tc>
      </w:tr>
      <w:tr>
        <w:trPr>
          <w:trHeight w:val="202"/>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effective rate</w:t>
            </w:r>
          </w:p>
        </w:tc>
        <w:tc>
          <w:tcPr>
            <w:tcW w:w="10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7"/>
                <w:szCs w:val="17"/>
                <w:color w:val="auto"/>
              </w:rPr>
            </w:pP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7"/>
                <w:szCs w:val="17"/>
                <w:color w:val="auto"/>
              </w:rPr>
            </w:pP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52" w:name="page53"/>
    <w:bookmarkEnd w:id="52"/>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provision for income taxes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Current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39,685</w:t>
            </w:r>
          </w:p>
        </w:tc>
        <w:tc>
          <w:tcPr>
            <w:tcW w:w="38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34,951</w:t>
            </w:r>
          </w:p>
        </w:tc>
        <w:tc>
          <w:tcPr>
            <w:tcW w:w="9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340" w:type="dxa"/>
            <w:vAlign w:val="bottom"/>
          </w:tcPr>
          <w:p>
            <w:pPr>
              <w:spacing w:after="0"/>
              <w:rPr>
                <w:sz w:val="17"/>
                <w:szCs w:val="17"/>
                <w:color w:val="auto"/>
              </w:rPr>
            </w:pPr>
          </w:p>
        </w:tc>
        <w:tc>
          <w:tcPr>
            <w:tcW w:w="15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(749 )</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(1,191 )</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38,982</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spacing w:after="0"/>
              <w:rPr>
                <w:sz w:val="17"/>
                <w:szCs w:val="17"/>
                <w:color w:val="auto"/>
              </w:rPr>
            </w:pPr>
          </w:p>
        </w:tc>
        <w:tc>
          <w:tcPr>
            <w:tcW w:w="15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(13,385 )</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8,305</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 and local</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(432 )</w:t>
            </w:r>
          </w:p>
        </w:tc>
        <w:tc>
          <w:tcPr>
            <w:tcW w:w="3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(7,388 )</w:t>
            </w:r>
          </w:p>
        </w:tc>
        <w:tc>
          <w:tcPr>
            <w:tcW w:w="0" w:type="dxa"/>
            <w:vAlign w:val="bottom"/>
          </w:tcPr>
          <w:p>
            <w:pPr>
              <w:spacing w:after="0"/>
              <w:rPr>
                <w:sz w:val="1"/>
                <w:szCs w:val="1"/>
                <w:color w:val="auto"/>
              </w:rPr>
            </w:pPr>
          </w:p>
        </w:tc>
      </w:tr>
      <w:tr>
        <w:trPr>
          <w:trHeight w:val="210"/>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Pr>
          <w:p>
            <w:pPr>
              <w:spacing w:after="0"/>
              <w:rPr>
                <w:sz w:val="18"/>
                <w:szCs w:val="18"/>
                <w:color w:val="auto"/>
              </w:rPr>
            </w:pPr>
          </w:p>
        </w:tc>
        <w:tc>
          <w:tcPr>
            <w:tcW w:w="15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(135 )</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(12 )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3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9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5"/>
        </w:trPr>
        <w:tc>
          <w:tcPr>
            <w:tcW w:w="4800" w:type="dxa"/>
            <w:vAlign w:val="bottom"/>
            <w:vMerge w:val="restart"/>
          </w:tcPr>
          <w:p>
            <w:pPr>
              <w:ind w:left="560"/>
              <w:spacing w:after="0"/>
              <w:rPr>
                <w:sz w:val="20"/>
                <w:szCs w:val="20"/>
                <w:color w:val="auto"/>
              </w:rPr>
            </w:pPr>
            <w:r>
              <w:rPr>
                <w:rFonts w:ascii="Times New Roman" w:cs="Times New Roman" w:eastAsia="Times New Roman" w:hAnsi="Times New Roman"/>
                <w:sz w:val="16"/>
                <w:szCs w:val="16"/>
                <w:color w:val="auto"/>
              </w:rPr>
              <w:t>Total provision</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vMerge w:val="restart"/>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28,503</w:t>
            </w:r>
          </w:p>
        </w:tc>
        <w:tc>
          <w:tcPr>
            <w:tcW w:w="3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41,676</w:t>
            </w:r>
          </w:p>
        </w:tc>
        <w:tc>
          <w:tcPr>
            <w:tcW w:w="9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deferred tax assets and liabilities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86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auto"/>
              </w:rPr>
              <w:t>Accrued compensation</w:t>
            </w:r>
          </w:p>
        </w:tc>
        <w:tc>
          <w:tcPr>
            <w:tcW w:w="32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11,860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9,884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Claims reserves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reserves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credit carryforwards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loss carryforwards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accounting liability</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63,639</w:t>
            </w:r>
          </w:p>
        </w:tc>
        <w:tc>
          <w:tcPr>
            <w:tcW w:w="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Total gross deferred income taxes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111,776</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Valuation allowances</w:t>
            </w:r>
          </w:p>
        </w:tc>
        <w:tc>
          <w:tcPr>
            <w:tcW w:w="320" w:type="dxa"/>
            <w:vAlign w:val="bottom"/>
          </w:tcPr>
          <w:p>
            <w:pPr>
              <w:spacing w:after="0"/>
              <w:rPr>
                <w:sz w:val="18"/>
                <w:szCs w:val="18"/>
                <w:color w:val="auto"/>
              </w:rPr>
            </w:pPr>
          </w:p>
        </w:tc>
        <w:tc>
          <w:tcPr>
            <w:tcW w:w="1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(2,921 )</w:t>
            </w: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(1,174 )</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108,855</w:t>
            </w:r>
          </w:p>
        </w:tc>
        <w:tc>
          <w:tcPr>
            <w:tcW w:w="4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Prepaids</w:t>
            </w:r>
          </w:p>
        </w:tc>
        <w:tc>
          <w:tcPr>
            <w:tcW w:w="320" w:type="dxa"/>
            <w:vAlign w:val="bottom"/>
          </w:tcPr>
          <w:p>
            <w:pPr>
              <w:spacing w:after="0"/>
              <w:rPr>
                <w:sz w:val="24"/>
                <w:szCs w:val="24"/>
                <w:color w:val="auto"/>
              </w:rPr>
            </w:pPr>
          </w:p>
        </w:tc>
        <w:tc>
          <w:tcPr>
            <w:tcW w:w="1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(5,901 )</w:t>
            </w:r>
          </w:p>
        </w:tc>
        <w:tc>
          <w:tcPr>
            <w:tcW w:w="4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(6,444 )</w:t>
            </w: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and equipment</w:t>
            </w:r>
          </w:p>
        </w:tc>
        <w:tc>
          <w:tcPr>
            <w:tcW w:w="320" w:type="dxa"/>
            <w:vAlign w:val="bottom"/>
          </w:tcPr>
          <w:p>
            <w:pPr>
              <w:spacing w:after="0"/>
              <w:rPr>
                <w:sz w:val="17"/>
                <w:szCs w:val="17"/>
                <w:color w:val="auto"/>
              </w:rPr>
            </w:pPr>
          </w:p>
        </w:tc>
        <w:tc>
          <w:tcPr>
            <w:tcW w:w="1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(139,077 )</w:t>
            </w:r>
          </w:p>
        </w:tc>
        <w:tc>
          <w:tcPr>
            <w:tcW w:w="4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(153,790 )</w:t>
            </w:r>
          </w:p>
        </w:tc>
        <w:tc>
          <w:tcPr>
            <w:tcW w:w="0" w:type="dxa"/>
            <w:vAlign w:val="bottom"/>
          </w:tcPr>
          <w:p>
            <w:pPr>
              <w:spacing w:after="0"/>
              <w:rPr>
                <w:sz w:val="1"/>
                <w:szCs w:val="1"/>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Intangibles</w:t>
            </w:r>
          </w:p>
        </w:tc>
        <w:tc>
          <w:tcPr>
            <w:tcW w:w="320" w:type="dxa"/>
            <w:vAlign w:val="bottom"/>
          </w:tcPr>
          <w:p>
            <w:pPr>
              <w:spacing w:after="0"/>
              <w:rPr>
                <w:sz w:val="17"/>
                <w:szCs w:val="17"/>
                <w:color w:val="auto"/>
              </w:rPr>
            </w:pPr>
          </w:p>
        </w:tc>
        <w:tc>
          <w:tcPr>
            <w:tcW w:w="1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(55,386 )</w:t>
            </w:r>
          </w:p>
        </w:tc>
        <w:tc>
          <w:tcPr>
            <w:tcW w:w="4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(53,759 )</w:t>
            </w:r>
          </w:p>
        </w:tc>
        <w:tc>
          <w:tcPr>
            <w:tcW w:w="0" w:type="dxa"/>
            <w:vAlign w:val="bottom"/>
          </w:tcPr>
          <w:p>
            <w:pPr>
              <w:spacing w:after="0"/>
              <w:rPr>
                <w:sz w:val="1"/>
                <w:szCs w:val="1"/>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right-of-use asset</w:t>
            </w:r>
          </w:p>
        </w:tc>
        <w:tc>
          <w:tcPr>
            <w:tcW w:w="320" w:type="dxa"/>
            <w:vAlign w:val="bottom"/>
          </w:tcPr>
          <w:p>
            <w:pPr>
              <w:spacing w:after="0"/>
              <w:rPr>
                <w:sz w:val="18"/>
                <w:szCs w:val="18"/>
                <w:color w:val="auto"/>
              </w:rPr>
            </w:pPr>
          </w:p>
        </w:tc>
        <w:tc>
          <w:tcPr>
            <w:tcW w:w="1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(61,404 )</w:t>
            </w: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(41,668 )</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(261,768</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(255,661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5"/>
        </w:trPr>
        <w:tc>
          <w:tcPr>
            <w:tcW w:w="78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Net deferred tax liability</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(152,913</w:t>
            </w:r>
          </w:p>
        </w:tc>
        <w:tc>
          <w:tcPr>
            <w:tcW w:w="40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(163,767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subject to income taxation in the United States, numerous state jurisdictions, Mexico, Canada, and India. Because income tax return formats vary among the states, we file both unitary and separate company state income tax returns. We do not permanently reinvest our foreign earnings, all amounts are accrued and accounted for, though not material.</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state tax net operating losses total $0.1 million. Some of those state losses have no expiration date while others will expire between December 31, 2028, and December 31, 2044. Management believes it is more likely than not that the loss carryforward deferred tax assets will be fully realized.</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federal incentive tax credit carryforward of $0.1 million expires between December 31, 2025 and December 31, 2028. Our state incentive tax credit carryforwards of $5.5 million expire between December 31, 2025 and December 31, 2027. Management believes it is more likely than not that approximately $1.9 million of the incentive carryforward deferred tax assets will be realized and a valuation allowance of $3.7 million has been established for the remainder which are not expected to be realized.</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amount of unrecognized tax benefits was $9.1 million and $12.9 million, respectively. If recognized, these benefits would decrease our income tax provision by $7.2 million and $10.2 million, respectively. A reconciliation of the beginning and ending amount of unrecognized tax benefits is as follows (in thousands):</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tbl>
      <w:tblPr>
        <w:tblLayout w:type="fixed"/>
        <w:tblInd w:w="2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r>
      <w:tr>
        <w:trPr>
          <w:trHeight w:val="188"/>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Gross unrecognized tax benefits - beginning of the year</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400" w:type="dxa"/>
            <w:vAlign w:val="bottom"/>
          </w:tcPr>
          <w:p>
            <w:pPr>
              <w:spacing w:after="0"/>
              <w:rPr>
                <w:sz w:val="16"/>
                <w:szCs w:val="16"/>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11,116</w:t>
            </w:r>
          </w:p>
        </w:tc>
        <w:tc>
          <w:tcPr>
            <w:tcW w:w="60" w:type="dxa"/>
            <w:vAlign w:val="bottom"/>
          </w:tcPr>
          <w:p>
            <w:pPr>
              <w:spacing w:after="0"/>
              <w:rPr>
                <w:sz w:val="16"/>
                <w:szCs w:val="16"/>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9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(4,232 )</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60" w:type="dxa"/>
            <w:vAlign w:val="bottom"/>
          </w:tcPr>
          <w:p>
            <w:pPr>
              <w:spacing w:after="0"/>
              <w:rPr>
                <w:sz w:val="17"/>
                <w:szCs w:val="17"/>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60" w:type="dxa"/>
            <w:vAlign w:val="bottom"/>
          </w:tcPr>
          <w:p>
            <w:pPr>
              <w:spacing w:after="0"/>
              <w:rPr>
                <w:sz w:val="17"/>
                <w:szCs w:val="17"/>
                <w:color w:val="auto"/>
              </w:rPr>
            </w:pPr>
          </w:p>
        </w:tc>
      </w:tr>
      <w:tr>
        <w:trPr>
          <w:trHeight w:val="203"/>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Decreases related to settlements with tax authorities</w:t>
            </w:r>
          </w:p>
        </w:tc>
        <w:tc>
          <w:tcPr>
            <w:tcW w:w="9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(788 )</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10"/>
        </w:trPr>
        <w:tc>
          <w:tcPr>
            <w:tcW w:w="7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Lapse of applicable statute of limitations</w:t>
            </w:r>
          </w:p>
        </w:tc>
        <w:tc>
          <w:tcPr>
            <w:tcW w:w="9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(123 )</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(478 )</w:t>
            </w:r>
          </w:p>
        </w:tc>
      </w:tr>
      <w:tr>
        <w:trPr>
          <w:trHeight w:val="202"/>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Gross unrecognized tax benefits - end of year</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9,094</w:t>
            </w:r>
          </w:p>
        </w:tc>
        <w:tc>
          <w:tcPr>
            <w:tcW w:w="4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6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related to income tax liabilities in our provision for income taxes. In 2024, we included $0.1 million in our provision for income taxes.</w:t>
      </w:r>
    </w:p>
    <w:p>
      <w:pPr>
        <w:spacing w:after="0" w:line="54"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Inflation Reduction Act of 2022 (IRA) was signed into law on August 16, 2022, and the CHIPS and Science Act of 2022 (CHIPS Act) was signed into law on August 9, 2022. These laws implemented new tax provisions, primarily a 15% corporate alternative minimum tax and a nondeductible 1% excise tax on the fair market value of stock repurchased by publicly traded corporations. In 2024, we paid approximately $1.6 million in excise taxes related to stock repurchases. The two acts also provide various tax credits, several of which are transferable or refundable, for the investment in or production of clean-energy effective January 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w:t>
      </w:r>
    </w:p>
    <w:p>
      <w:pPr>
        <w:spacing w:after="0" w:line="121"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and accounts payable materially approximated fair value as of December 31, 2024. As of December 31, 2024, the $264.4 million carrying value of our fixed-rate borrowings approximated the fair value. As of December 31, 2023, the fair value of the Company's fixed-rate borrowings was $1.4 million less than the historical carrying value of $350.7 million. The fair value of the fixed-rate borrowings was estimated using an income approach based on current interest rates available to us for borrowings on similar terms and maturities.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consider as cash equivalents all highly liquid instruments with an original maturity of three months or less. As of December 31, 2024 and 2023, our cash and temporary investments were with high quality financial institutions in demand deposit accounts, savings accounts, checking accounts and money market accounts.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2024, Restricted Cash of $28.7 million includes cash held in both deposit accounts and escrow accounts that are not subject to remeasurement on a recurring basis.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Restricted investments included $21.6 million and $20.8 million as of December 31, 2024 and 2023, respectively, of mutual funds and other security investments which are reported at fair value. These investments relate to the non-qualified deferred compensation plan that is described in Note 14 and insurance deposits.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assets and liabilities measured at fair value are based on valuation techniques which consider prices and other relevant information generated by market transactions involving identical or comparable assets and liabilities. These valuation methods are based on either quoted market prices (Level 1) or inputs, other than quoted prices in active markets, that are observable either directly or indirectly (Level 2), or unobservable inputs (Level 3). Cash and cash equivalents, accounts receivable, accounts payable and mutual funds and related liabilities are defined as “Level 1,” while long-term debt is defined as “Level 2” of the fair value hierarchy in the Fair Value Measurements and Disclosures Topic of the Codification.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Land</w:t>
            </w:r>
          </w:p>
        </w:tc>
        <w:tc>
          <w:tcPr>
            <w:tcW w:w="2420" w:type="dxa"/>
            <w:vAlign w:val="bottom"/>
          </w:tcPr>
          <w:p>
            <w:pPr>
              <w:spacing w:after="0"/>
              <w:rPr>
                <w:sz w:val="15"/>
                <w:szCs w:val="15"/>
                <w:color w:val="auto"/>
              </w:rPr>
            </w:pPr>
          </w:p>
        </w:tc>
        <w:tc>
          <w:tcPr>
            <w:tcW w:w="560" w:type="dxa"/>
            <w:vAlign w:val="bottom"/>
          </w:tcPr>
          <w:p>
            <w:pPr>
              <w:jc w:val="right"/>
              <w:ind w:right="37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24,724</w:t>
            </w:r>
          </w:p>
        </w:tc>
        <w:tc>
          <w:tcPr>
            <w:tcW w:w="440" w:type="dxa"/>
            <w:vAlign w:val="bottom"/>
          </w:tcPr>
          <w:p>
            <w:pPr>
              <w:spacing w:after="0"/>
              <w:rPr>
                <w:sz w:val="15"/>
                <w:szCs w:val="15"/>
                <w:color w:val="auto"/>
              </w:rPr>
            </w:pPr>
          </w:p>
        </w:tc>
        <w:tc>
          <w:tcPr>
            <w:tcW w:w="460" w:type="dxa"/>
            <w:vAlign w:val="bottom"/>
          </w:tcPr>
          <w:p>
            <w:pPr>
              <w:jc w:val="right"/>
              <w:ind w:right="27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24,724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91,110</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193,793</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2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36,344</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 equipment</w:t>
            </w:r>
          </w:p>
        </w:tc>
        <w:tc>
          <w:tcPr>
            <w:tcW w:w="24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1,001,648</w:t>
            </w:r>
          </w:p>
        </w:tc>
        <w:tc>
          <w:tcPr>
            <w:tcW w:w="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1,363,162</w:t>
            </w:r>
          </w:p>
        </w:tc>
        <w:tc>
          <w:tcPr>
            <w:tcW w:w="4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1,366,146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(623,266</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2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739,896</w:t>
            </w:r>
          </w:p>
        </w:tc>
        <w:tc>
          <w:tcPr>
            <w:tcW w:w="44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791,692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9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39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54" w:name="page55"/>
    <w:bookmarkEnd w:id="54"/>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$106.7 million, $114.4 million and $103.1 million for the years ended December 31, 2024,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Long-Term Debt and Financing Arrangements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February 2022, we entered into a five-year, $350 million unsecured credit agreement (the "Credit Agreement"). Borrowings under the Credit Agreement generally bear interest at a variable rate equal to (i) the secured overnight financing rate (published by the Federal Reserve Bank of New York, “SOFR”), plus a specified margin based on the term of such borrowing, plus a specified margin based upon Hub’s total net leverage ratio (as defined in the Credit Agreement) (the "Total Net Leverage Ratio"), or (ii) the base rate (which is the highest of (a) the administrative agent's prime rate, (b) the federal funds rate plus 0.50% or (c) the sum of 1% and one-month SOFR) plus a specified margin based upon the Total Net Leverage Ratio. The specified margin for SOFR loans varies from 100.0 to 175.0 basis points per annum. The specified margin for base rate loans varies from 0.0 to 75.0 basis points per annum. Hub must also pay (1) a commitment fee ranging from 10.0 to 25.0 basis points per annum (based upon the Total Net Leverage Ratio) on the aggregate unused commitments and (2) a letter of credit fee ranging from 100.0 to 175.0 basis points per annum (based upon the Total Net Leverage Ratio) on the undrawn amount of letters of credit.</w:t>
      </w:r>
    </w:p>
    <w:p>
      <w:pPr>
        <w:spacing w:after="0" w:line="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have standby letters of credit that expire in 2025. Our letters of credit were $1 million as of both December 31, 2024 and December 31, 2023, respectively.</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we had no borrowings under our respective credit agreements. Our unused and available borrowings were $349 million as of both December 31, 2024 and December 31, 2023, respectively. We were in compliance with the financial covenants in our credit agreements as of December 31, 2024 and December 31, 2023.</w:t>
      </w:r>
    </w:p>
    <w:p>
      <w:pPr>
        <w:spacing w:after="0" w:line="68" w:lineRule="exact"/>
        <w:rPr>
          <w:sz w:val="20"/>
          <w:szCs w:val="20"/>
          <w:color w:val="auto"/>
        </w:rPr>
      </w:pPr>
    </w:p>
    <w:p>
      <w:pPr>
        <w:jc w:val="both"/>
        <w:ind w:firstLine="281"/>
        <w:spacing w:after="0" w:line="282" w:lineRule="auto"/>
        <w:rPr>
          <w:sz w:val="20"/>
          <w:szCs w:val="20"/>
          <w:color w:val="auto"/>
        </w:rPr>
      </w:pPr>
      <w:r>
        <w:rPr>
          <w:rFonts w:ascii="Times New Roman" w:cs="Times New Roman" w:eastAsia="Times New Roman" w:hAnsi="Times New Roman"/>
          <w:sz w:val="18"/>
          <w:szCs w:val="18"/>
          <w:color w:val="auto"/>
        </w:rPr>
        <w:t>We have entered into various Equipment Notes (“Notes”) for the purchase of tractors, trailers, containers and refrigeration units. The Notes are secured by the underlying equipment financed in the agreements.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outstanding Notes are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Interim funding for equipment received and expected to be converted to an equipment note in subsequent</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interest paid at a variable rate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Equipment Notes due on various dates in 2029 commencing on various dates in 2024; interest is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monthly at a fixed annual rate between 5.11% and 6.24% (1)</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Equipment Notes due on various dates in 2028 commencing on various dates in 2023; interest is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monthly at a fixed annual rate between 5.21% and 6.32%</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Equipment Notes due on various dates in 2027 commencing on various dates in 2022 and 2023;</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is paid monthly at a fixed annual rate between 2.07% and 6.45%</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Equipment Notes due on various dates in 2026 commencing on various dates in 2021; interest is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monthly at a fixed annual rate between 1.48% and 2.41%</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Equipment Notes due on various dates in 2025 commencing on various dates in 2020; interest is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monthly at a fixed annual rate between 1.51% and 1.80%</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Equipment Notes due on various dates in 2024 commencing on various dates in 2017, 2019 and</w:t>
            </w:r>
          </w:p>
        </w:tc>
        <w:tc>
          <w:tcPr>
            <w:tcW w:w="32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 interest is paid monthly at a fixed annual rate between 2.50% and 3.59%</w:t>
            </w: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264,362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320" w:type="dxa"/>
            <w:vAlign w:val="bottom"/>
          </w:tcPr>
          <w:p>
            <w:pPr>
              <w:spacing w:after="0"/>
              <w:rPr>
                <w:sz w:val="24"/>
                <w:szCs w:val="24"/>
                <w:color w:val="auto"/>
              </w:rPr>
            </w:pP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(100,001 )</w:t>
            </w:r>
          </w:p>
        </w:tc>
        <w:tc>
          <w:tcPr>
            <w:tcW w:w="24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(105,108 )</w:t>
            </w:r>
          </w:p>
        </w:tc>
        <w:tc>
          <w:tcPr>
            <w:tcW w:w="0" w:type="dxa"/>
            <w:vAlign w:val="bottom"/>
          </w:tcPr>
          <w:p>
            <w:pPr>
              <w:spacing w:after="0"/>
              <w:rPr>
                <w:sz w:val="1"/>
                <w:szCs w:val="1"/>
                <w:color w:val="auto"/>
              </w:rPr>
            </w:pPr>
          </w:p>
        </w:tc>
      </w:tr>
      <w:tr>
        <w:trPr>
          <w:trHeight w:val="209"/>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164,361</w:t>
            </w:r>
          </w:p>
        </w:tc>
        <w:tc>
          <w:tcPr>
            <w:tcW w:w="3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570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7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260" w:right="3840" w:firstLine="3"/>
        <w:spacing w:after="0" w:line="616" w:lineRule="auto"/>
        <w:tabs>
          <w:tab w:leader="none" w:pos="5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an immaterial amount of notes held at EASO with interest rates up to 13.95%. Aggregate principal payments, in thousands, due subsequent to December 31, 2024, are as follows:</w:t>
      </w:r>
    </w:p>
    <w:tbl>
      <w:tblPr>
        <w:tblLayout w:type="fixed"/>
        <w:tblInd w:w="4440" w:type="dxa"/>
        <w:tblCellMar>
          <w:top w:w="0" w:type="dxa"/>
          <w:left w:w="0" w:type="dxa"/>
          <w:bottom w:w="0" w:type="dxa"/>
          <w:right w:w="0" w:type="dxa"/>
        </w:tblCellMar>
      </w:tblP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Year 1</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100,001</w:t>
            </w: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Year 2</w:t>
            </w:r>
          </w:p>
        </w:tc>
        <w:tc>
          <w:tcPr>
            <w:tcW w:w="7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84,812</w:t>
            </w: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Year 3</w:t>
            </w:r>
          </w:p>
        </w:tc>
        <w:tc>
          <w:tcPr>
            <w:tcW w:w="7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55,612</w:t>
            </w:r>
          </w:p>
        </w:tc>
      </w:tr>
      <w:tr>
        <w:trPr>
          <w:trHeight w:val="2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Year 4</w:t>
            </w:r>
          </w:p>
        </w:tc>
        <w:tc>
          <w:tcPr>
            <w:tcW w:w="7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Year 5</w:t>
            </w: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196"/>
        </w:trPr>
        <w:tc>
          <w:tcPr>
            <w:tcW w:w="1100" w:type="dxa"/>
            <w:vAlign w:val="bottom"/>
          </w:tcPr>
          <w:p>
            <w:pPr>
              <w:spacing w:after="0"/>
              <w:rPr>
                <w:sz w:val="17"/>
                <w:szCs w:val="17"/>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264,362</w:t>
            </w:r>
          </w:p>
        </w:tc>
      </w:tr>
      <w:tr>
        <w:trPr>
          <w:trHeight w:val="20"/>
        </w:trPr>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13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accordance with ASC 842, “Leases,” (“ASC 842”) which requires lessees to recognize a right-of-use asset (“ROU”) and a lease obligation for all leases, we made an accounting policy election to not recognize an asset and liability for leases with a term of twelve months or less.</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2024, we recorded $234.7 million of ROU assets and $244.1 million of lease liabilities on our consolidated balance sheet. As of December 31, 2023, we recorded $213.3 million of ROU assets and $224.8 million of lease liabilities on our consolidated balance sheet. The lease liabilities recognized are measured based upon the present value of minimum future payments. The ROU assets are equal to lease liabilities upon initial recording, adjusted for prepaid and accrued rent balances which are recorded in the Consolidated Balance Sheets.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currently do not have any variable lease payments that depend on an index or a rate (such as the Consumer Price Index or a market interest rate). Some leases have options to extend or terminate the agreement, which management assesses in determining the estimated lease term. If any of the options to extend a lease are exercised, this change will be reflected as a remeasurement of the ROU asset and lease liability accordingly. As of December 31, 2024, the ROU asset and lease liabilities do not reflect any options to extend or terminate a lease as management is not reasonably certain it will exercise any of these options. Also, current leases do not contain any restrictions or covenants imposed by the leases or residual value guarantees.</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2024, we signed new property lease contracts which had not commenced. Based on the present value of the lease payments, the estimated ROU assets and lease liabilities related to these contracts will total approximately $2.8 million.</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Discount rates are not specified on the individual lease contracts at the commencement date. To determine the present value of the lease payments, we used our incremental borrowing rate which was determined based on our credit standing and factoring in the current 12-month SOFR rate published at the time of the lease commencement. This incremental borrowing rate represents the rate of interest that we would have to pay to borrow on a collateralized basis over a similar term and amounts equal to the lease payments in a similar economic environment.</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(in thousands), which are included in transportation costs and general and administrative costs in the accompanying Consolidated Statement of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40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finance right-of-use assets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Pr>
          <w:p>
            <w:pPr>
              <w:spacing w:after="0"/>
              <w:rPr>
                <w:sz w:val="24"/>
                <w:szCs w:val="24"/>
                <w:color w:val="auto"/>
              </w:rPr>
            </w:pP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6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24"/>
                <w:szCs w:val="24"/>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28"/>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r>
      <w:tr>
        <w:trPr>
          <w:trHeight w:val="39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48,868</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100" w:type="dxa"/>
            <w:vAlign w:val="bottom"/>
          </w:tcPr>
          <w:p>
            <w:pPr>
              <w:spacing w:after="0"/>
              <w:rPr>
                <w:sz w:val="24"/>
                <w:szCs w:val="24"/>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4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(1,051 )</w:t>
            </w:r>
          </w:p>
        </w:tc>
        <w:tc>
          <w:tcPr>
            <w:tcW w:w="4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r>
      <w:tr>
        <w:trPr>
          <w:trHeight w:val="210"/>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50,961</w:t>
            </w:r>
          </w:p>
        </w:tc>
        <w:tc>
          <w:tcPr>
            <w:tcW w:w="2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0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5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1"/>
        </w:trPr>
        <w:tc>
          <w:tcPr>
            <w:tcW w:w="4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7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The following table represents the maturity of operating and finance lease liabilities (in thousands):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1</w:t>
            </w:r>
          </w:p>
        </w:tc>
        <w:tc>
          <w:tcPr>
            <w:tcW w:w="220" w:type="dxa"/>
            <w:vAlign w:val="bottom"/>
          </w:tcPr>
          <w:p>
            <w:pPr>
              <w:spacing w:after="0"/>
              <w:rPr>
                <w:sz w:val="18"/>
                <w:szCs w:val="18"/>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4480" w:type="dxa"/>
            <w:vAlign w:val="bottom"/>
            <w:vMerge w:val="continue"/>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58,769</w:t>
            </w: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689</w:t>
            </w:r>
          </w:p>
        </w:tc>
        <w:tc>
          <w:tcPr>
            <w:tcW w:w="260" w:type="dxa"/>
            <w:vAlign w:val="bottom"/>
          </w:tcPr>
          <w:p>
            <w:pPr>
              <w:spacing w:after="0"/>
              <w:rPr>
                <w:sz w:val="16"/>
                <w:szCs w:val="16"/>
                <w:color w:val="auto"/>
              </w:rPr>
            </w:pPr>
          </w:p>
        </w:tc>
        <w:tc>
          <w:tcPr>
            <w:tcW w:w="440" w:type="dxa"/>
            <w:vAlign w:val="bottom"/>
            <w:tcBorders>
              <w:top w:val="single" w:sz="8" w:color="auto"/>
            </w:tcBorders>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59,458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3</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5</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6"/>
                <w:szCs w:val="16"/>
                <w:color w:val="auto"/>
              </w:rPr>
            </w:pPr>
          </w:p>
        </w:tc>
        <w:tc>
          <w:tcPr>
            <w:tcW w:w="1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287,175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1,024</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288,199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Present value of lease payments</w:t>
            </w:r>
          </w:p>
        </w:tc>
        <w:tc>
          <w:tcPr>
            <w:tcW w:w="220" w:type="dxa"/>
            <w:vAlign w:val="bottom"/>
          </w:tcPr>
          <w:p>
            <w:pPr>
              <w:spacing w:after="0"/>
              <w:rPr>
                <w:sz w:val="16"/>
                <w:szCs w:val="16"/>
                <w:color w:val="auto"/>
              </w:rPr>
            </w:pPr>
          </w:p>
        </w:tc>
        <w:tc>
          <w:tcPr>
            <w:tcW w:w="1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243,156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993</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244,149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197,664</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1</w:t>
            </w:r>
          </w:p>
        </w:tc>
        <w:tc>
          <w:tcPr>
            <w:tcW w:w="220" w:type="dxa"/>
            <w:vAlign w:val="bottom"/>
          </w:tcPr>
          <w:p>
            <w:pPr>
              <w:spacing w:after="0"/>
              <w:rPr>
                <w:sz w:val="18"/>
                <w:szCs w:val="18"/>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4480" w:type="dxa"/>
            <w:vAlign w:val="bottom"/>
            <w:vMerge w:val="continue"/>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55,516</w:t>
            </w: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1,619</w:t>
            </w:r>
          </w:p>
        </w:tc>
        <w:tc>
          <w:tcPr>
            <w:tcW w:w="260" w:type="dxa"/>
            <w:vAlign w:val="bottom"/>
          </w:tcPr>
          <w:p>
            <w:pPr>
              <w:spacing w:after="0"/>
              <w:rPr>
                <w:sz w:val="16"/>
                <w:szCs w:val="16"/>
                <w:color w:val="auto"/>
              </w:rPr>
            </w:pPr>
          </w:p>
        </w:tc>
        <w:tc>
          <w:tcPr>
            <w:tcW w:w="440" w:type="dxa"/>
            <w:vAlign w:val="bottom"/>
            <w:tcBorders>
              <w:top w:val="single" w:sz="8" w:color="auto"/>
            </w:tcBorders>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57,135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3</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 5</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6"/>
                <w:szCs w:val="16"/>
                <w:color w:val="auto"/>
              </w:rPr>
            </w:pPr>
          </w:p>
        </w:tc>
        <w:tc>
          <w:tcPr>
            <w:tcW w:w="1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261,456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2,512</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263,968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Present value of lease payments</w:t>
            </w:r>
          </w:p>
        </w:tc>
        <w:tc>
          <w:tcPr>
            <w:tcW w:w="220" w:type="dxa"/>
            <w:vAlign w:val="bottom"/>
          </w:tcPr>
          <w:p>
            <w:pPr>
              <w:spacing w:after="0"/>
              <w:rPr>
                <w:sz w:val="16"/>
                <w:szCs w:val="16"/>
                <w:color w:val="auto"/>
              </w:rPr>
            </w:pPr>
          </w:p>
        </w:tc>
        <w:tc>
          <w:tcPr>
            <w:tcW w:w="1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222,389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2,444</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224,833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177,699</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80" w:type="dxa"/>
            <w:vAlign w:val="bottom"/>
            <w:vMerge w:val="continue"/>
          </w:tcPr>
          <w:p>
            <w:pPr>
              <w:spacing w:after="0"/>
              <w:rPr>
                <w:sz w:val="16"/>
                <w:szCs w:val="16"/>
                <w:color w:val="auto"/>
              </w:rPr>
            </w:pPr>
          </w:p>
        </w:tc>
        <w:tc>
          <w:tcPr>
            <w:tcW w:w="1340" w:type="dxa"/>
            <w:vAlign w:val="bottom"/>
          </w:tcPr>
          <w:p>
            <w:pPr>
              <w:jc w:val="right"/>
              <w:ind w:right="1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44,163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36,073</w:t>
            </w:r>
          </w:p>
        </w:tc>
        <w:tc>
          <w:tcPr>
            <w:tcW w:w="260" w:type="dxa"/>
            <w:vAlign w:val="bottom"/>
          </w:tcPr>
          <w:p>
            <w:pPr>
              <w:spacing w:after="0"/>
              <w:rPr>
                <w:sz w:val="16"/>
                <w:szCs w:val="16"/>
                <w:color w:val="auto"/>
              </w:rPr>
            </w:pPr>
          </w:p>
        </w:tc>
        <w:tc>
          <w:tcPr>
            <w:tcW w:w="46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19,135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lease liabilities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38,975</w:t>
            </w:r>
          </w:p>
        </w:tc>
        <w:tc>
          <w:tcPr>
            <w:tcW w:w="2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(240 )</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(2,017 )</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lease liabilities (net of disposals)</w:t>
            </w: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Rights-of-use assets obtained in exchange for new</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70,525</w:t>
            </w:r>
          </w:p>
        </w:tc>
        <w:tc>
          <w:tcPr>
            <w:tcW w:w="140" w:type="dxa"/>
            <w:vAlign w:val="bottom"/>
          </w:tcPr>
          <w:p>
            <w:pPr>
              <w:spacing w:after="0"/>
              <w:rPr>
                <w:sz w:val="18"/>
                <w:szCs w:val="18"/>
                <w:color w:val="auto"/>
              </w:rPr>
            </w:pP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133,358</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disposals)</w:t>
            </w: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rates as of December 31,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finance leases</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4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2.17 years</w:t>
            </w:r>
          </w:p>
        </w:tc>
        <w:tc>
          <w:tcPr>
            <w:tcW w:w="180" w:type="dxa"/>
            <w:vAlign w:val="bottom"/>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2.14 years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5.38 years</w:t>
            </w:r>
          </w:p>
        </w:tc>
        <w:tc>
          <w:tcPr>
            <w:tcW w:w="1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5.66 years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2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4.29%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5.86%</w:t>
            </w:r>
          </w:p>
        </w:tc>
        <w:tc>
          <w:tcPr>
            <w:tcW w:w="2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5.47%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5640" w:type="dxa"/>
            <w:vAlign w:val="bottom"/>
          </w:tcPr>
          <w:p>
            <w:pPr>
              <w:spacing w:after="0"/>
              <w:rPr>
                <w:sz w:val="24"/>
                <w:szCs w:val="24"/>
                <w:color w:val="auto"/>
              </w:rPr>
            </w:pPr>
          </w:p>
        </w:tc>
        <w:tc>
          <w:tcPr>
            <w:tcW w:w="26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56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NOTE 12. Internal-Use Software</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capitalize internal and external costs, which include costs related to the development of our cloud computing or hosting arrangements, incurred to develop internal use software per ASC Subtopic 350-40. Refer to Note 1 "Description of Business and Summary of Significant Accounting Policies" for information regarding accounting policy.</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had total capitalized internal use software costs, which include costs related to the development of our cloud computing or hosting arrangements, net of accumulated amortization, of $56.0 million and $56.4 million as of December 31, 2024 and 2023, respectively. The 2024 balance consists of capitalized implementation costs of $13.2 million, net of accumulated amortization, related to our cloud hosting arrangements, which are classified in other assets in our consolidated balance sheet and capitalized internal-use software costs of $42.7 million, net of accumulated amortization, which are classified in property and equipment in our consolidated balance sheet. The 2023 balance consists of capitalized implementation costs of $12.0 million, net of accumulated amortization, related our cloud hosting arrangements, which are classified in other assets in our consolidated balance sheet and capitalized internal-use software costs of $44.4 million, net of accumulated amortization, which are classified in property and equipment in our consolidated balance sheet.</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capitalized total implementation and internal-use software costs of $20.9 million and $16.7 million in 2024 and 2023, respectively. Implementation and internal-use software costs are amortized, once ready for intended use, over its expected useful life or the term of the associated hosting arrangements of generally up to 10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2022 Long-Term Incentive Plan (the “2022 Incentive Plan”) was approved by our Board of Directors and subsequently approved by our stockholders at the 2022 annual meeting. The 2022 Incentive Plan authorizes a broad range of awards including stock options, stock appreciation rights, restricted stock and restricted stock units, performance shares or units, other stock-based awards, and cash incentive awards to all employees (including our executive officers), directors, consultants, or independent contractors of us or a related company. The 2022 Incentive Plan is effective as of May 24, 2022.</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2,169,625 shares were available for future grant under the 2022 Incentive Plan.</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awarded time-based restricted stock to our employees and non-employee directors (“Outside Directors”). This restricted stock generally vests ratably (once per year) over a three to five-year period for recipients other than Outside Directors. Outside Directors’ restricted stock vests over a one-year period. In 2024, 2023, and 2022, we also granted performance-based restricted stock to our executive officers. The performance-based restricted stock vests upon the third anniversary of its issuance if certain financial targets are achieved.</w:t>
      </w:r>
    </w:p>
    <w:p>
      <w:pPr>
        <w:spacing w:after="0" w:line="7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2024, 2023 and 2022 was $19.0 million, $21.2 million and $20.6 million or $14.9 million, $17.0 million and $15.7 million, net of taxes, respectively. Included in the 2024, 2023, and 2022 share-based compensation expense was $5.2 million, $6.3 million and $5.6 million of performance-based share expenses or $4.1 million, $4.8 million and $4.2 million, net of taxes,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non-vested restricted stock is equal to the market price of our stock at the 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non-vested restricted stock activity for the year ended December 31, 2024:</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Time-Based</w:t>
            </w: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Performance-Based</w:t>
            </w:r>
          </w:p>
        </w:tc>
      </w:tr>
      <w:tr>
        <w:trPr>
          <w:trHeight w:val="212"/>
        </w:trPr>
        <w:tc>
          <w:tcPr>
            <w:tcW w:w="3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Restricted Stock</w:t>
            </w:r>
          </w:p>
        </w:tc>
      </w:tr>
      <w:tr>
        <w:trPr>
          <w:trHeight w:val="216"/>
        </w:trPr>
        <w:tc>
          <w:tcPr>
            <w:tcW w:w="3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70"/>
        </w:trPr>
        <w:tc>
          <w:tcPr>
            <w:tcW w:w="3320" w:type="dxa"/>
            <w:vAlign w:val="bottom"/>
          </w:tcPr>
          <w:p>
            <w:pPr>
              <w:spacing w:after="0"/>
              <w:rPr>
                <w:sz w:val="23"/>
                <w:szCs w:val="23"/>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Time-Based</w:t>
            </w:r>
          </w:p>
        </w:tc>
        <w:tc>
          <w:tcPr>
            <w:tcW w:w="180" w:type="dxa"/>
            <w:vAlign w:val="bottom"/>
          </w:tcPr>
          <w:p>
            <w:pPr>
              <w:spacing w:after="0"/>
              <w:rPr>
                <w:sz w:val="23"/>
                <w:szCs w:val="23"/>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320" w:type="dxa"/>
            <w:vAlign w:val="bottom"/>
          </w:tcPr>
          <w:p>
            <w:pPr>
              <w:spacing w:after="0"/>
              <w:rPr>
                <w:sz w:val="23"/>
                <w:szCs w:val="23"/>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140" w:type="dxa"/>
            <w:vAlign w:val="bottom"/>
          </w:tcPr>
          <w:p>
            <w:pPr>
              <w:spacing w:after="0"/>
              <w:rPr>
                <w:sz w:val="23"/>
                <w:szCs w:val="23"/>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33"/>
        </w:trPr>
        <w:tc>
          <w:tcPr>
            <w:tcW w:w="332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80" w:type="dxa"/>
            <w:vAlign w:val="bottom"/>
          </w:tcPr>
          <w:p>
            <w:pPr>
              <w:spacing w:after="0"/>
              <w:rPr>
                <w:sz w:val="20"/>
                <w:szCs w:val="20"/>
                <w:color w:val="auto"/>
              </w:rPr>
            </w:pPr>
          </w:p>
        </w:tc>
        <w:tc>
          <w:tcPr>
            <w:tcW w:w="15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32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40" w:type="dxa"/>
            <w:vAlign w:val="bottom"/>
          </w:tcPr>
          <w:p>
            <w:pPr>
              <w:spacing w:after="0"/>
              <w:rPr>
                <w:sz w:val="20"/>
                <w:szCs w:val="20"/>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5"/>
        </w:trPr>
        <w:tc>
          <w:tcPr>
            <w:tcW w:w="33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88"/>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Non-vested January 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1,165,296</w:t>
            </w:r>
          </w:p>
        </w:tc>
        <w:tc>
          <w:tcPr>
            <w:tcW w:w="320" w:type="dxa"/>
            <w:vAlign w:val="bottom"/>
          </w:tcPr>
          <w:p>
            <w:pPr>
              <w:spacing w:after="0"/>
              <w:rPr>
                <w:sz w:val="24"/>
                <w:szCs w:val="24"/>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292,790</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402,215</w:t>
            </w:r>
          </w:p>
        </w:tc>
        <w:tc>
          <w:tcPr>
            <w:tcW w:w="3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208,736</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(408,670 )</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(207,376 )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(195,182 )</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2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(39,670 )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w:t>
            </w:r>
          </w:p>
        </w:tc>
      </w:tr>
      <w:tr>
        <w:trPr>
          <w:trHeight w:val="202"/>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Non-vested at December 31, 2024</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963,659</w:t>
            </w:r>
          </w:p>
        </w:tc>
        <w:tc>
          <w:tcPr>
            <w:tcW w:w="3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32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254,480</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w:t>
            </w:r>
          </w:p>
        </w:tc>
      </w:tr>
      <w:tr>
        <w:trPr>
          <w:trHeight w:val="20"/>
        </w:trPr>
        <w:tc>
          <w:tcPr>
            <w:tcW w:w="3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granted during the respective years: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Time-based restricted stock grants</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8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Employees</w:t>
            </w:r>
          </w:p>
        </w:tc>
        <w:tc>
          <w:tcPr>
            <w:tcW w:w="1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367,127</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344,122</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383,288</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Outside directors</w:t>
            </w:r>
          </w:p>
        </w:tc>
        <w:tc>
          <w:tcPr>
            <w:tcW w:w="1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35,088</w:t>
            </w:r>
          </w:p>
        </w:tc>
        <w:tc>
          <w:tcPr>
            <w:tcW w:w="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40,272</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46,056</w:t>
            </w:r>
          </w:p>
        </w:tc>
      </w:tr>
      <w:tr>
        <w:trPr>
          <w:trHeight w:val="202"/>
        </w:trPr>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402,215</w:t>
            </w: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384,394</w:t>
            </w: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429,344</w:t>
            </w:r>
          </w:p>
        </w:tc>
      </w:tr>
      <w:tr>
        <w:trPr>
          <w:trHeight w:val="20"/>
        </w:trPr>
        <w:tc>
          <w:tcPr>
            <w:tcW w:w="4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7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grant date fair value</w:t>
            </w:r>
          </w:p>
        </w:tc>
        <w:tc>
          <w:tcPr>
            <w:tcW w:w="134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w:t>
            </w:r>
          </w:p>
        </w:tc>
      </w:tr>
      <w:tr>
        <w:trPr>
          <w:trHeight w:val="405"/>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Vesting period</w:t>
            </w:r>
          </w:p>
        </w:tc>
        <w:tc>
          <w:tcPr>
            <w:tcW w:w="1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years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years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years</w:t>
            </w:r>
          </w:p>
        </w:tc>
      </w:tr>
    </w:tbl>
    <w:p>
      <w:pPr>
        <w:spacing w:after="0" w:line="27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performance-based restricted stock granted in 2022 earned a 200% award therefore an additional 74,202 shares were issued to settle the award on the vesting date of January 2, 2025. The 2024 grant of performance-based restricted stock resulted in the issuance of 105,048 shares. The performance-based restricted stock grants were 106,874 in 2023 and 103,588 in 2022. The weighted average grant date fair value of these shares was $45.62 in 2024, $39.75 in 2023, and $42.12 in 2022.</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shares vested during the years ended December 31, 2024, 2023, and 2022 was $27.8 million, $26.1 million and $22.7 million, respectively.</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there was $33.7 million, $34.0 million and $41.3 million of unrecognized compensation cost related to non-vested time-based compensation, respectively, that is expected to be recognized over a weighted average period for 2024, 2023, and 2022 of 2.66 years, 2.75 years and 2.67 years, respectively.</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Additionally, as of December 31, 2024, 2023, and 2022 there was $6.2 million, $7.2 million and $7.6 million of unrecognized compensation cost, respectively, related to the non-vested performance-based restricted stock compensation that is expected to be recognized over a weighted average period of 1.5 years for 2024, 2023, and 2022.</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January 2025, we granted 406,585 shares of restricted stock, which includes 111,787 performance-based shares and 258,574 time-based shares, to certain employees and 36,224 shares of restricted stock to our Outside Directors with a weighted average grant date fair value of $44.17. These time-based grants vest ratably (once per year) over a five-year period for employees and a one-year period for Outside Directors. Performance-based grants vest after three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Employee Benefit Plans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a profit-sharing plan under section 401(k) of the Internal Revenue Code. At our discretion, we partially match qualified contributions made by employees to the plan. We incurred expense related to the employer match for this plan of $7.7 million in 2024, $8.5 million in 2023 and $6.7 million in 2022.</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January 2005, we established the Hub Group, Inc. Non-qualified Deferred Compensation Plan (the “Plan”) to provide added incentive for the retention of certain key employees. Under the Plan, which was amended in 2008, participants can elect to defer certain compensation. Accounts grow on a tax-deferred basis to the participant. Restricted investments included in the Consolidated Balance Sheets represent the fair value of the mutual funds and other security investments related to the Plan as of December 31, 2024 and 2023. Both realized and unrealized gains and losses are included in income and expense and offset the change in the deferred compensation liability. We provide a 50% match on the first 6% of employee compensation deferred under the Plan which vests over three years with a maximum match equivalent to 3% of base salary. We incurred expenses of $0.2 million in 2024 and $0.3 million in both 2023 and 2022 related to the employer match for this plan. The assets related to the Plan as of December 31, 2024 and 2023 totaled $21.4 million and $20.5 million, respectively. The liabilities related to the Plan as of December 31, 2024 and 2023 totaled $21.4 million and $20.5 million, respectively.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Legal Matters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involved in certain claims and pending litigation arising from the normal conduct of business, including putative class-action lawsuits involving employment related claims. Based on management's present knowledge, management does not believe that any potential unrecorded loss contingencies arising from these pending matters are likely to have a material adverse effect on our overall financial position, operating results, or cash flows after taking into account any existing accruals for settlements or losses determined to be probable and estimable. However, actual outcomes could be material to our financial position, operating results or cash flows for any particular period.</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NOTE 16. Stock Repurchase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Board authorized the purchase of up to $250 million of our Class A Common Stock pursuant to a share repurchase program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2023 Program</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which replaces the 2022 Program. Under the 2023 Program, the shares may be repurchased in the open market or in privately negotiated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transactions, from time to time subject to market and other conditions. The approved share repurchase program does not obligate us to repurchase any dollar amount or number of shares and the program may be modified, suspended or discontinued at any time.</w:t>
      </w:r>
    </w:p>
    <w:p>
      <w:pPr>
        <w:spacing w:after="0" w:line="7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purchased 1,830,275 shares for $79.0 million during 2024, 4,020,598 shares for $153.9 million during 2023 and 2,957,330 shares for $118.1 million in 2022. These amounts include the number of shares delivered to us by employees to satisfy the mandatory tax withholding requirement upon vesting of restricted stock, which do not reduce the repurchase authority under our share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August 2022, we entered into a Common Stock Exchange and Repurchase Agreement (the “Agreement”) with entities affiliated with David 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Yeager, then our Chairman of the Board of Directors and Chief Executive Officer (collectively, the “DPY Entities”) and entities affiliated with Mark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Yeager, the brother of David P. Yeager (collectively, the “MAY Entities”).</w:t>
      </w:r>
    </w:p>
    <w:p>
      <w:pPr>
        <w:spacing w:after="0" w:line="9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Pursuant to the Agreement, the MAY Entities transferred 243,755 shares of Class B Common Stock, $0.01 par value per share, to the DPY Entities in exchange for 685,456 shares of Class A Common Stock, $0.01 par value per share (the “Class A Exchange Shares”; such transfer in exchange for the Class A Exchange Shares is referred to herein as the “Exchange”). Immediately after the consummation of the Exchange, the MAY Entities sold to us (i) all of the Class A Exchange Shares and (ii) 87,393 shares of Class B Common Stock (the “Remaining Class B Shares”), representing all of the remaining shares of Class B Common Stock owned by the MAY Entities, for an aggregate purchase price of $34.8 million (the “Repurchase” and, together with the “Exchange,” the “Transaction”). The purchase price for the Repurchase was based on a price per share equal to the closing price of Class A Common Stock on the Nasdaq Global Market on the date of the Agreement. In accordance with our Certificate of Incorporation, the Remaining Class B Shares acquired by us were cancelled and converted into Class A Common Stock upon acquisition and are not available for reissuance.</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Transaction was approved by our Audit Committee of the Board pursuant to our Related Person Transaction Policy approval procedures.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60" w:name="page61"/>
    <w:bookmarkEnd w:id="60"/>
    <w:p>
      <w:pPr>
        <w:ind w:right="1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 evaluation was carried out under the supervision and with the participation of our management, including our Chief Executive Officer and Chief Financial Officer, of the effectiveness of our disclosure controls and procedures (as such term is defined in Exchange Act Rule 13a-15(e)). Based upon this evaluation, our Chief Executive Officer and Chief Financial Officer concluded that our disclosure controls and procedures were effective as of December 31,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changes were made in our internal control over financial reporting during the fourth quarter of 2024 that has materially affected, or is reasonably likely to materially affect, our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controls over financial reporting as defined in Rule 13a-15(f) of the Exchange Act. Under the supervision and with the participation of our management, including our Chief Executive Officer and our Chief Financial Officer, we conducted an evaluation of the effectiveness of our internal control over financial reporting as of December 31, 2024. Based on criteria established in Internal Control—Integrated Framework issued by the Committee of Sponsoring Organizations of the Treadway Commission (2013 framework) (the COSO criteria), management concluded that our internal control over financial reporting was effective as of December 31, 2024.</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23, 2024, we entered into an investment agreement with Corporación Interamericana de Logística, S.A. de C.V. and certain associated entities (commonly known as “EASO”) to acquire a controlling interest in EASO. We are currently integrating processes, employees, technologies and operations. As permitted by the rules and regulations of the Securities and Exchange Commission (“SEC”), we excluded EASO from our assessment of our internal control over financial reporting as of December 31, 2024. Management will continue to evaluate our internal controls over financial reporting as we complete our integration. As of December 31, 2024, EASO represented 5.3% of total assets and 5.7% of net assets. For the year ended December 31, 2024, EASO represented 0.5% of revenues and 0.1% of net income.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however, that a control system, no matter how well designed and operated, cannot provide absolute assurance that the objectives of the control system are met, and no evaluation controls can provide absolute assurance that all control issues and instances of fraud, if any, within the Company have been detected.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who audited and reported on the consolidated financial statements, included in this report, has issued an attestation report on our internal control over financial reporting.</w:t>
      </w:r>
    </w:p>
    <w:p>
      <w:pPr>
        <w:spacing w:after="0" w:line="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the Stockholders and the Board of Directors of Hub Group,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3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We have audited Hub Group, Inc.’s internal control over financial reporting as of December 31, 2024, based on criteria established in Internal Control—Integrated Framework issued by the Committee of Sponsoring Organizations of the Treadway Commission (2013 framework) (the COSO criteria). In our opinion, Hub Group, Inc. (the Company) maintained, in all material respects, effective internal control over financial reporting as of December 31, 2024, based on the COSO criteria.</w:t>
      </w:r>
    </w:p>
    <w:p>
      <w:pPr>
        <w:spacing w:after="0" w:line="17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 xml:space="preserve">As indicated in the accompanying Management Annual Report on Internal Control Over Financial Reporting, management’s assessment of and conclusion on the effectiveness of internal control over financial reporting did not include the internal controls of </w:t>
      </w:r>
      <w:r>
        <w:rPr>
          <w:rFonts w:ascii="Times New Roman" w:cs="Times New Roman" w:eastAsia="Times New Roman" w:hAnsi="Times New Roman"/>
          <w:sz w:val="17"/>
          <w:szCs w:val="17"/>
          <w:color w:val="auto"/>
        </w:rPr>
        <w:t>Corporación Interamericana de Logística, S.A. de C.V. and certain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associated entities (commonly known as “EASO”), </w:t>
      </w:r>
      <w:r>
        <w:rPr>
          <w:rFonts w:ascii="Times New Roman" w:cs="Times New Roman" w:eastAsia="Times New Roman" w:hAnsi="Times New Roman"/>
          <w:sz w:val="16"/>
          <w:szCs w:val="16"/>
          <w:color w:val="auto"/>
        </w:rPr>
        <w:t>which were acquired on October 23, 2024 and is included in the 2024 consolidated financial statements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Company and constituted 5.3% and 5.7% of total and net assets, respectively, as of December 31, 2024 and 0.5% and 0.1% of revenues and net income, respectively, for the year then ended. Our audit of internal control over financial reporting of the Company also did not include an evaluation of the internal control over financial reporting of EASO.</w:t>
      </w:r>
    </w:p>
    <w:p>
      <w:pPr>
        <w:spacing w:after="0" w:line="1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three years in the period ended December 31, 2024, and the related notes and financial statement schedule listed in the Index at Item 15(b), and our report dated February 25, 2025 expressed an unqualified opinion thereon.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2025</w:t>
      </w:r>
    </w:p>
    <w:p>
      <w:pPr>
        <w:spacing w:after="0" w:line="1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62" w:name="page63"/>
    <w:bookmarkEnd w:id="6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 director or Section 16 officer adopted or terminated any Rule 10b5-1 trading arrangement or non-Rule 10b5-1 trading arrangement, as such terms are defined under Item 408(a) of Regulation S-K.</w:t>
      </w:r>
    </w:p>
    <w:p>
      <w:pPr>
        <w:spacing w:after="0" w:line="3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to our Proxy Statement. The information regarding executive officers called for by Item 401 of Regulation S-K is included in Part I, Item 1, beginning under “Information About Our Executive Officers.”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(“Code”) that applies to all of our employees, officers and Board members. The Code is posted on the “Investors” section of our internet website at www.hubgroup.com. If we make any substantive amendments to the finance code of ethics or grant any waiver from a provision of the code to our principal executive officer, principal financial officer or principal accounting officer, we will disclose the nature of the amendment or waiver on that website or in a report on Form 8-K.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 of our securities by our directors, officers and employees that we believe is reasonably designed to promote compliance with insider trading laws, rules and regulations and Nasdaq listing standards. A copy of the Insider Trading Policy is filed as Exhibit 19 to this Form 10-K.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is incorporated by reference to our Proxy Statement.</w:t>
      </w:r>
    </w:p>
    <w:p>
      <w:pPr>
        <w:spacing w:after="0" w:line="221" w:lineRule="exact"/>
        <w:rPr>
          <w:sz w:val="20"/>
          <w:szCs w:val="20"/>
          <w:color w:val="auto"/>
        </w:rPr>
      </w:pPr>
    </w:p>
    <w:p>
      <w:pPr>
        <w:ind w:left="1160" w:right="600" w:hanging="1152"/>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49" w:lineRule="exact"/>
        <w:rPr>
          <w:sz w:val="20"/>
          <w:szCs w:val="20"/>
          <w:color w:val="auto"/>
        </w:rPr>
      </w:pPr>
    </w:p>
    <w:p>
      <w:pPr>
        <w:ind w:right="260" w:firstLine="8"/>
        <w:spacing w:after="0" w:line="284" w:lineRule="auto"/>
        <w:tabs>
          <w:tab w:leader="none" w:pos="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Equity Compensation Plan Information. </w:t>
      </w:r>
      <w:r>
        <w:rPr>
          <w:rFonts w:ascii="Times New Roman" w:cs="Times New Roman" w:eastAsia="Times New Roman" w:hAnsi="Times New Roman"/>
          <w:sz w:val="18"/>
          <w:szCs w:val="18"/>
          <w:color w:val="auto"/>
        </w:rPr>
        <w:t>The following table sets forth information about securities authorized for issuance under our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(including individual compensation arrangements) as of December 31, 2024:</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1"/>
        </w:trPr>
        <w:tc>
          <w:tcPr>
            <w:tcW w:w="36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2,169,625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 w:type="dxa"/>
            <w:vAlign w:val="bottom"/>
          </w:tcPr>
          <w:p>
            <w:pPr>
              <w:spacing w:after="0"/>
              <w:rPr>
                <w:sz w:val="17"/>
                <w:szCs w:val="17"/>
                <w:color w:val="auto"/>
              </w:rPr>
            </w:pPr>
          </w:p>
        </w:tc>
        <w:tc>
          <w:tcPr>
            <w:tcW w:w="152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holders</w:t>
            </w:r>
          </w:p>
        </w:tc>
        <w:tc>
          <w:tcPr>
            <w:tcW w:w="120" w:type="dxa"/>
            <w:vAlign w:val="bottom"/>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2,169,625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-8255</wp:posOffset>
            </wp:positionV>
            <wp:extent cx="154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ind w:right="20" w:firstLine="8"/>
        <w:spacing w:after="0" w:line="284" w:lineRule="auto"/>
        <w:tabs>
          <w:tab w:leader="none" w:pos="3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Information. </w:t>
      </w:r>
      <w:r>
        <w:rPr>
          <w:rFonts w:ascii="Times New Roman" w:cs="Times New Roman" w:eastAsia="Times New Roman" w:hAnsi="Times New Roman"/>
          <w:sz w:val="18"/>
          <w:szCs w:val="18"/>
          <w:color w:val="auto"/>
        </w:rPr>
        <w:t>The information required by this Item 12 regarding security ownership of certain beneficial owners and our management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to our Proxy Statement.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is incorporated by reference to our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information required by this Item 14 is incorporated by reference to our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consolidated financial statements of the Registrant are included under Item 8 of this Form 10-K: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 December 31, 2024 and December 31,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Income - Years ended December 31, 2024, December 31, 2023 and December 31, 2022</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Comprehensive Income - Years ended December 31, 2024, December 31, 2023 and December 31, 2022</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Stockholders’ Equity - Years ended December 31, 2024, December 31, 2023 and December 31, 2022</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2024, December 31, 2023 and December 31, 2022</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121" w:lineRule="exact"/>
        <w:rPr>
          <w:sz w:val="20"/>
          <w:szCs w:val="20"/>
          <w:color w:val="auto"/>
        </w:rPr>
      </w:pPr>
    </w:p>
    <w:p>
      <w:pPr>
        <w:ind w:left="260" w:right="160"/>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schedules of Hub Group, Inc. are filed as part of this report and should be read in conjunction with the consolidated financial statements of Hub Group, Inc.:</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121" w:lineRule="exact"/>
        <w:rPr>
          <w:sz w:val="20"/>
          <w:szCs w:val="20"/>
          <w:color w:val="auto"/>
        </w:rPr>
      </w:pPr>
    </w:p>
    <w:p>
      <w:pPr>
        <w:ind w:left="380"/>
        <w:spacing w:after="0"/>
        <w:tabs>
          <w:tab w:leader="none" w:pos="8720" w:val="left"/>
        </w:tabs>
        <w:rPr>
          <w:sz w:val="20"/>
          <w:szCs w:val="20"/>
          <w:color w:val="auto"/>
        </w:rPr>
      </w:pPr>
      <w:r>
        <w:rPr>
          <w:rFonts w:ascii="Times New Roman" w:cs="Times New Roman" w:eastAsia="Times New Roman" w:hAnsi="Times New Roman"/>
          <w:sz w:val="18"/>
          <w:szCs w:val="18"/>
          <w:color w:val="auto"/>
        </w:rPr>
        <w:t>II. Valuation and qualifying accounts and reserves ………………………………………………………………..</w:t>
        <w:tab/>
        <w:t>S-1</w:t>
      </w:r>
    </w:p>
    <w:p>
      <w:pPr>
        <w:spacing w:after="0" w:line="117" w:lineRule="exact"/>
        <w:rPr>
          <w:sz w:val="20"/>
          <w:szCs w:val="20"/>
          <w:color w:val="auto"/>
        </w:rPr>
      </w:pPr>
    </w:p>
    <w:p>
      <w:pPr>
        <w:ind w:firstLine="429"/>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required, are not applicable, or the required information is shown in the consolidated financial statements or notes thereto.</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 AND RESERVES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uncollectible trade accounts</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03"/>
        </w:trPr>
        <w:tc>
          <w:tcPr>
            <w:tcW w:w="166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7"/>
                <w:szCs w:val="17"/>
                <w:color w:val="auto"/>
              </w:rPr>
            </w:pPr>
          </w:p>
        </w:tc>
        <w:tc>
          <w:tcPr>
            <w:tcW w:w="14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End of</w:t>
            </w:r>
          </w:p>
        </w:tc>
      </w:tr>
      <w:tr>
        <w:trPr>
          <w:trHeight w:val="215"/>
        </w:trPr>
        <w:tc>
          <w:tcPr>
            <w:tcW w:w="166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w w:val="99"/>
              </w:rPr>
              <w:t>December 31:</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Year</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Accounts (1)</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Deductions (2)</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Year</w:t>
            </w:r>
          </w:p>
        </w:tc>
      </w:tr>
      <w:tr>
        <w:trPr>
          <w:trHeight w:val="396"/>
        </w:trPr>
        <w:tc>
          <w:tcPr>
            <w:tcW w:w="16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34,709</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(9,077 )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26,725</w:t>
            </w:r>
          </w:p>
        </w:tc>
      </w:tr>
      <w:tr>
        <w:trPr>
          <w:trHeight w:val="405"/>
        </w:trPr>
        <w:tc>
          <w:tcPr>
            <w:tcW w:w="16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38,580</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(5,295 )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34,709</w:t>
            </w:r>
          </w:p>
        </w:tc>
      </w:tr>
      <w:tr>
        <w:trPr>
          <w:trHeight w:val="405"/>
        </w:trPr>
        <w:tc>
          <w:tcPr>
            <w:tcW w:w="166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20,061</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15,557</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38,580</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valuation allowance</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80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gridSpan w:val="2"/>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460" w:type="dxa"/>
            <w:vAlign w:val="bottom"/>
          </w:tcPr>
          <w:p>
            <w:pPr>
              <w:spacing w:after="0"/>
              <w:rPr>
                <w:sz w:val="17"/>
                <w:szCs w:val="17"/>
                <w:color w:val="auto"/>
              </w:rPr>
            </w:pPr>
          </w:p>
        </w:tc>
        <w:tc>
          <w:tcPr>
            <w:tcW w:w="196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03"/>
        </w:trPr>
        <w:tc>
          <w:tcPr>
            <w:tcW w:w="2120" w:type="dxa"/>
            <w:vAlign w:val="bottom"/>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gridSpan w:val="2"/>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8"/>
              </w:rPr>
              <w:t>Costs and</w:t>
            </w:r>
          </w:p>
        </w:tc>
        <w:tc>
          <w:tcPr>
            <w:tcW w:w="460" w:type="dxa"/>
            <w:vAlign w:val="bottom"/>
          </w:tcPr>
          <w:p>
            <w:pPr>
              <w:spacing w:after="0"/>
              <w:rPr>
                <w:sz w:val="17"/>
                <w:szCs w:val="17"/>
                <w:color w:val="auto"/>
              </w:rPr>
            </w:pPr>
          </w:p>
        </w:tc>
        <w:tc>
          <w:tcPr>
            <w:tcW w:w="196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End of</w:t>
            </w:r>
          </w:p>
        </w:tc>
      </w:tr>
      <w:tr>
        <w:trPr>
          <w:trHeight w:val="215"/>
        </w:trPr>
        <w:tc>
          <w:tcPr>
            <w:tcW w:w="21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0" w:type="dxa"/>
            <w:vAlign w:val="bottom"/>
            <w:tcBorders>
              <w:bottom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Year</w:t>
            </w:r>
          </w:p>
        </w:tc>
        <w:tc>
          <w:tcPr>
            <w:tcW w:w="5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4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Year</w:t>
            </w:r>
          </w:p>
        </w:tc>
      </w:tr>
      <w:tr>
        <w:trPr>
          <w:trHeight w:val="396"/>
        </w:trPr>
        <w:tc>
          <w:tcPr>
            <w:tcW w:w="2120" w:type="dxa"/>
            <w:vAlign w:val="bottom"/>
          </w:tcPr>
          <w:p>
            <w:pPr>
              <w:jc w:val="center"/>
              <w:ind w:right="1059"/>
              <w:spacing w:after="0"/>
              <w:rPr>
                <w:sz w:val="20"/>
                <w:szCs w:val="20"/>
                <w:color w:val="auto"/>
              </w:rPr>
            </w:pPr>
            <w:r>
              <w:rPr>
                <w:rFonts w:ascii="Times New Roman" w:cs="Times New Roman" w:eastAsia="Times New Roman" w:hAnsi="Times New Roman"/>
                <w:sz w:val="16"/>
                <w:szCs w:val="16"/>
                <w:color w:val="auto"/>
              </w:rPr>
              <w:t>2024</w:t>
            </w:r>
          </w:p>
        </w:tc>
        <w:tc>
          <w:tcPr>
            <w:tcW w:w="1800" w:type="dxa"/>
            <w:vAlign w:val="bottom"/>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40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w:t>
            </w:r>
          </w:p>
        </w:tc>
      </w:tr>
      <w:tr>
        <w:trPr>
          <w:trHeight w:val="405"/>
        </w:trPr>
        <w:tc>
          <w:tcPr>
            <w:tcW w:w="2120" w:type="dxa"/>
            <w:vAlign w:val="bottom"/>
          </w:tcPr>
          <w:p>
            <w:pPr>
              <w:jc w:val="center"/>
              <w:ind w:right="1059"/>
              <w:spacing w:after="0"/>
              <w:rPr>
                <w:sz w:val="20"/>
                <w:szCs w:val="20"/>
                <w:color w:val="auto"/>
              </w:rPr>
            </w:pPr>
            <w:r>
              <w:rPr>
                <w:rFonts w:ascii="Times New Roman" w:cs="Times New Roman" w:eastAsia="Times New Roman" w:hAnsi="Times New Roman"/>
                <w:sz w:val="16"/>
                <w:szCs w:val="16"/>
                <w:color w:val="auto"/>
              </w:rPr>
              <w:t>2023</w:t>
            </w:r>
          </w:p>
        </w:tc>
        <w:tc>
          <w:tcPr>
            <w:tcW w:w="1800" w:type="dxa"/>
            <w:vAlign w:val="bottom"/>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(393 )</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405"/>
        </w:trPr>
        <w:tc>
          <w:tcPr>
            <w:tcW w:w="2120" w:type="dxa"/>
            <w:vAlign w:val="bottom"/>
          </w:tcPr>
          <w:p>
            <w:pPr>
              <w:jc w:val="center"/>
              <w:ind w:right="1059"/>
              <w:spacing w:after="0"/>
              <w:rPr>
                <w:sz w:val="20"/>
                <w:szCs w:val="20"/>
                <w:color w:val="auto"/>
              </w:rPr>
            </w:pPr>
            <w:r>
              <w:rPr>
                <w:rFonts w:ascii="Times New Roman" w:cs="Times New Roman" w:eastAsia="Times New Roman" w:hAnsi="Times New Roman"/>
                <w:sz w:val="16"/>
                <w:szCs w:val="16"/>
                <w:color w:val="auto"/>
              </w:rPr>
              <w:t>2022</w:t>
            </w:r>
          </w:p>
        </w:tc>
        <w:tc>
          <w:tcPr>
            <w:tcW w:w="1800" w:type="dxa"/>
            <w:vAlign w:val="bottom"/>
          </w:tcPr>
          <w:p>
            <w:pPr>
              <w:jc w:val="right"/>
              <w:ind w:right="16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(3,456 )</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r>
    </w:tbl>
    <w:p>
      <w:pPr>
        <w:spacing w:after="0" w:line="204"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account adjustments charged to revenue and write-offs, net of recoveries.</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bad debt recoveries.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 Exhibits</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40" w:type="dxa"/>
            <w:vAlign w:val="bottom"/>
            <w:gridSpan w:val="20"/>
          </w:tcPr>
          <w:p>
            <w:pPr>
              <w:ind w:left="6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83"/>
        </w:trPr>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00" w:type="dxa"/>
            <w:vAlign w:val="bottom"/>
            <w:gridSpan w:val="19"/>
          </w:tcPr>
          <w:p>
            <w:pPr>
              <w:ind w:left="10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7"/>
                <w:szCs w:val="17"/>
                <w:color w:val="auto"/>
              </w:rPr>
            </w:pPr>
          </w:p>
        </w:tc>
        <w:tc>
          <w:tcPr>
            <w:tcW w:w="100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Certificate of Incorporation of Hub Group, Inc. (Amended as of June 26, 2023) (incorporated by reference to Exhibit 3.1 to the Registrant's</w:t>
              </w:r>
            </w:hyperlink>
          </w:p>
        </w:tc>
        <w:tc>
          <w:tcPr>
            <w:tcW w:w="22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gridSpan w:val="28"/>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quarterly report on Form 10-Q filed August 4, 2023)</w:t>
              </w:r>
            </w:hyperlink>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100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Amended and Restated By-Laws of Hub Group, Inc. (incorporated by reference to Exhibit 3.1 to the Registrant’s report on Form 8-K filed</w:t>
              </w:r>
            </w:hyperlink>
          </w:p>
        </w:tc>
        <w:tc>
          <w:tcPr>
            <w:tcW w:w="2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February 28, 2023)</w:t>
              </w:r>
            </w:hyperlink>
          </w:p>
        </w:tc>
        <w:tc>
          <w:tcPr>
            <w:tcW w:w="20" w:type="dxa"/>
            <w:vAlign w:val="bottom"/>
            <w:tcBorders>
              <w:bottom w:val="single" w:sz="8" w:color="0000EE"/>
            </w:tcBorders>
          </w:tcPr>
          <w:p>
            <w:pPr>
              <w:spacing w:after="0"/>
              <w:rPr>
                <w:sz w:val="17"/>
                <w:szCs w:val="17"/>
                <w:color w:val="auto"/>
              </w:rPr>
            </w:pPr>
          </w:p>
        </w:tc>
        <w:tc>
          <w:tcPr>
            <w:tcW w:w="8880" w:type="dxa"/>
            <w:vAlign w:val="bottom"/>
            <w:gridSpan w:val="24"/>
          </w:tcPr>
          <w:p>
            <w:pPr>
              <w:spacing w:after="0"/>
              <w:rPr>
                <w:sz w:val="17"/>
                <w:szCs w:val="17"/>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5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Hub Group, Inc. Class A Common Stock, $.01 par value</w:t>
            </w:r>
          </w:p>
        </w:tc>
        <w:tc>
          <w:tcPr>
            <w:tcW w:w="20" w:type="dxa"/>
            <w:vAlign w:val="bottom"/>
            <w:tcBorders>
              <w:bottom w:val="single" w:sz="8" w:color="0000EE"/>
            </w:tcBorders>
          </w:tcPr>
          <w:p>
            <w:pPr>
              <w:spacing w:after="0"/>
              <w:rPr>
                <w:sz w:val="24"/>
                <w:szCs w:val="24"/>
                <w:color w:val="auto"/>
              </w:rPr>
            </w:pPr>
          </w:p>
        </w:tc>
        <w:tc>
          <w:tcPr>
            <w:tcW w:w="5120" w:type="dxa"/>
            <w:vAlign w:val="bottom"/>
            <w:gridSpan w:val="16"/>
          </w:tcPr>
          <w:p>
            <w:pPr>
              <w:spacing w:after="0"/>
              <w:rPr>
                <w:sz w:val="24"/>
                <w:szCs w:val="24"/>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10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DPY Stockholders’ Agreement dated February 22, 2023 (incorporated by reference to Exhibit 10.1 to the Registrant's quarterly report on Form</w:t>
            </w: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10-K filed February 24, 2023)</w:t>
            </w:r>
          </w:p>
        </w:tc>
        <w:tc>
          <w:tcPr>
            <w:tcW w:w="20" w:type="dxa"/>
            <w:vAlign w:val="bottom"/>
            <w:tcBorders>
              <w:bottom w:val="single" w:sz="8" w:color="0000EE"/>
            </w:tcBorders>
          </w:tcPr>
          <w:p>
            <w:pPr>
              <w:spacing w:after="0"/>
              <w:rPr>
                <w:sz w:val="17"/>
                <w:szCs w:val="17"/>
                <w:color w:val="auto"/>
              </w:rPr>
            </w:pPr>
          </w:p>
        </w:tc>
        <w:tc>
          <w:tcPr>
            <w:tcW w:w="8100" w:type="dxa"/>
            <w:vAlign w:val="bottom"/>
            <w:gridSpan w:val="22"/>
          </w:tcPr>
          <w:p>
            <w:pPr>
              <w:spacing w:after="0"/>
              <w:rPr>
                <w:sz w:val="17"/>
                <w:szCs w:val="17"/>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102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Common Stock Exchange and Repurchase Agreement (incorporated by reference to Exhibit 10.1 to the Registrant's report on Form 8-K filed</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August 9, 2022)</w:t>
              </w:r>
            </w:hyperlink>
          </w:p>
        </w:tc>
        <w:tc>
          <w:tcPr>
            <w:tcW w:w="20" w:type="dxa"/>
            <w:vAlign w:val="bottom"/>
            <w:tcBorders>
              <w:bottom w:val="single" w:sz="8" w:color="0000EE"/>
            </w:tcBorders>
          </w:tcPr>
          <w:p>
            <w:pPr>
              <w:spacing w:after="0"/>
              <w:rPr>
                <w:sz w:val="17"/>
                <w:szCs w:val="17"/>
                <w:color w:val="auto"/>
              </w:rPr>
            </w:pPr>
          </w:p>
        </w:tc>
        <w:tc>
          <w:tcPr>
            <w:tcW w:w="9100" w:type="dxa"/>
            <w:vAlign w:val="bottom"/>
            <w:gridSpan w:val="26"/>
          </w:tcPr>
          <w:p>
            <w:pPr>
              <w:spacing w:after="0"/>
              <w:rPr>
                <w:sz w:val="17"/>
                <w:szCs w:val="17"/>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103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Hub Group’s Nonqualified Deferred Compensation Plan Basic Plan Document as amended and restated as of January 1, 2008 (incorporated by</w:t>
              </w:r>
            </w:hyperlink>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reference to Exhibit 10.4 to the Registrant’s report on Form 10-K filed February 22, 2008)</w:t>
              </w:r>
            </w:hyperlink>
          </w:p>
        </w:tc>
        <w:tc>
          <w:tcPr>
            <w:tcW w:w="20" w:type="dxa"/>
            <w:vAlign w:val="bottom"/>
            <w:tcBorders>
              <w:bottom w:val="single" w:sz="8" w:color="0000EE"/>
            </w:tcBorders>
          </w:tcPr>
          <w:p>
            <w:pPr>
              <w:spacing w:after="0"/>
              <w:rPr>
                <w:sz w:val="17"/>
                <w:szCs w:val="17"/>
                <w:color w:val="auto"/>
              </w:rPr>
            </w:pPr>
          </w:p>
        </w:tc>
        <w:tc>
          <w:tcPr>
            <w:tcW w:w="3760" w:type="dxa"/>
            <w:vAlign w:val="bottom"/>
            <w:gridSpan w:val="9"/>
          </w:tcPr>
          <w:p>
            <w:pPr>
              <w:spacing w:after="0"/>
              <w:rPr>
                <w:sz w:val="17"/>
                <w:szCs w:val="17"/>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103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Hub Group’s Nonqualified Deferred Compensation Plan Adoption Agreement as amended and restated as of January 1, 2008 (incorporated by</w:t>
              </w:r>
            </w:hyperlink>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reference to Exhibit 10.5 to the Registrant’s report on Form 10-K filed February 22, 2008)</w:t>
              </w:r>
            </w:hyperlink>
          </w:p>
        </w:tc>
        <w:tc>
          <w:tcPr>
            <w:tcW w:w="20" w:type="dxa"/>
            <w:vAlign w:val="bottom"/>
            <w:tcBorders>
              <w:bottom w:val="single" w:sz="8" w:color="0000EE"/>
            </w:tcBorders>
          </w:tcPr>
          <w:p>
            <w:pPr>
              <w:spacing w:after="0"/>
              <w:rPr>
                <w:sz w:val="17"/>
                <w:szCs w:val="17"/>
                <w:color w:val="auto"/>
              </w:rPr>
            </w:pPr>
          </w:p>
        </w:tc>
        <w:tc>
          <w:tcPr>
            <w:tcW w:w="3760" w:type="dxa"/>
            <w:vAlign w:val="bottom"/>
            <w:gridSpan w:val="9"/>
          </w:tcPr>
          <w:p>
            <w:pPr>
              <w:spacing w:after="0"/>
              <w:rPr>
                <w:sz w:val="17"/>
                <w:szCs w:val="17"/>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4"/>
                <w:szCs w:val="24"/>
                <w:color w:val="auto"/>
              </w:rPr>
            </w:pPr>
          </w:p>
        </w:tc>
        <w:tc>
          <w:tcPr>
            <w:tcW w:w="97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Credit Agreement, dated February 24, 2022, among the Registrant, the Guarantors, the Lenders and Bank of Montreal (incorporated by</w:t>
              </w:r>
            </w:hyperlink>
          </w:p>
        </w:tc>
        <w:tc>
          <w:tcPr>
            <w:tcW w:w="52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reference to Exhibit 10.1 to the Registrant’s report on Form 8-K filed March 1, 2022)</w:t>
              </w:r>
            </w:hyperlink>
          </w:p>
        </w:tc>
        <w:tc>
          <w:tcPr>
            <w:tcW w:w="20" w:type="dxa"/>
            <w:vAlign w:val="bottom"/>
            <w:tcBorders>
              <w:bottom w:val="single" w:sz="8" w:color="0000EE"/>
            </w:tcBorders>
          </w:tcPr>
          <w:p>
            <w:pPr>
              <w:spacing w:after="0"/>
              <w:rPr>
                <w:sz w:val="17"/>
                <w:szCs w:val="17"/>
                <w:color w:val="auto"/>
              </w:rPr>
            </w:pPr>
          </w:p>
        </w:tc>
        <w:tc>
          <w:tcPr>
            <w:tcW w:w="4120" w:type="dxa"/>
            <w:vAlign w:val="bottom"/>
            <w:gridSpan w:val="12"/>
          </w:tcPr>
          <w:p>
            <w:pPr>
              <w:spacing w:after="0"/>
              <w:rPr>
                <w:sz w:val="17"/>
                <w:szCs w:val="17"/>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24"/>
                <w:szCs w:val="24"/>
                <w:color w:val="auto"/>
              </w:rPr>
            </w:pPr>
          </w:p>
        </w:tc>
        <w:tc>
          <w:tcPr>
            <w:tcW w:w="99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Hub Group’s 2017 Long Term Incentive Plan (incorporated by reference from Exhibit A to the Registrant’s definitive proxy statement on</w:t>
              </w:r>
            </w:hyperlink>
          </w:p>
        </w:tc>
        <w:tc>
          <w:tcPr>
            <w:tcW w:w="34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gridSpan w:val="28"/>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Schedule 14A filed March 22, 2017)</w:t>
              </w:r>
            </w:hyperlink>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99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Hub Group’s 2022 Long Term Incentive Plan (incorporated by reference from Exhibit A to the Registrant’s definitive proxy statement on</w:t>
              </w:r>
            </w:hyperlink>
          </w:p>
        </w:tc>
        <w:tc>
          <w:tcPr>
            <w:tcW w:w="34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Schedule 14A filed April 12, 2022)</w:t>
              </w:r>
            </w:hyperlink>
          </w:p>
        </w:tc>
        <w:tc>
          <w:tcPr>
            <w:tcW w:w="7740" w:type="dxa"/>
            <w:vAlign w:val="bottom"/>
            <w:gridSpan w:val="21"/>
          </w:tcPr>
          <w:p>
            <w:pPr>
              <w:spacing w:after="0"/>
              <w:rPr>
                <w:sz w:val="17"/>
                <w:szCs w:val="17"/>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4"/>
                <w:szCs w:val="24"/>
                <w:color w:val="auto"/>
              </w:rPr>
            </w:pPr>
          </w:p>
        </w:tc>
        <w:tc>
          <w:tcPr>
            <w:tcW w:w="98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Terms of Restricted Stock Award to Non-Employee Directors under Hub Group, Inc. 2017 and 2022 Long-Term Incentive Plan</w:t>
              </w:r>
            </w:hyperlink>
          </w:p>
        </w:tc>
        <w:tc>
          <w:tcPr>
            <w:tcW w:w="4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gridSpan w:val="28"/>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(incorporated by reference to Exhibit 10.1 to the Registrant’s report on Form 8-K filed May 16, 2017)</w:t>
              </w:r>
            </w:hyperlink>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tcBorders>
              <w:right w:val="single" w:sz="8" w:color="0000FF"/>
            </w:tcBorders>
            <w:gridSpan w:val="13"/>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24"/>
                <w:szCs w:val="24"/>
                <w:color w:val="auto"/>
              </w:rPr>
            </w:pPr>
          </w:p>
        </w:tc>
        <w:tc>
          <w:tcPr>
            <w:tcW w:w="9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Terms of Restricted Stock Award under Hub Group, Inc. 2017 and 2022 Long-Term Incentive Plan (incorporated by reference to</w:t>
              </w:r>
            </w:hyperlink>
          </w:p>
        </w:tc>
        <w:tc>
          <w:tcPr>
            <w:tcW w:w="32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gridSpan w:val="28"/>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Exhibit 10.2 to the Registrant’s report on Form 8-K filed May 16, 2017)</w:t>
              </w:r>
            </w:hyperlink>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tcBorders>
              <w:right w:val="single" w:sz="8" w:color="0000EE"/>
            </w:tcBorders>
            <w:gridSpan w:val="13"/>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24"/>
                <w:szCs w:val="24"/>
                <w:color w:val="auto"/>
              </w:rPr>
            </w:pPr>
          </w:p>
        </w:tc>
        <w:tc>
          <w:tcPr>
            <w:tcW w:w="103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Terms of Performance Based Restricted Stock Award under Hub Group, Inc. 2017 and 2022 Long-Term Incentive Plan (incorporated</w:t>
              </w:r>
            </w:hyperlink>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00" w:type="dxa"/>
            <w:vAlign w:val="bottom"/>
            <w:gridSpan w:val="28"/>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by reference to Exhibit 10.3 to the Registrant’s report on Form 8-K filed January 5, 2018)</w:t>
              </w:r>
            </w:hyperlink>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920" w:hanging="89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Hub Group,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1805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1805305" cy="8255"/>
                    </a:xfrm>
                    <a:prstGeom prst="rect">
                      <a:avLst/>
                    </a:prstGeom>
                    <a:noFill/>
                  </pic:spPr>
                </pic:pic>
              </a:graphicData>
            </a:graphic>
          </wp:anchor>
        </w:drawing>
      </w:r>
    </w:p>
    <w:p>
      <w:pPr>
        <w:spacing w:after="0" w:line="97" w:lineRule="exact"/>
        <w:rPr>
          <w:sz w:val="20"/>
          <w:szCs w:val="20"/>
          <w:color w:val="auto"/>
        </w:rPr>
      </w:pPr>
    </w:p>
    <w:p>
      <w:pPr>
        <w:ind w:left="920" w:hanging="899"/>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11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8"/>
          <w:szCs w:val="18"/>
          <w:u w:val="single" w:color="auto"/>
          <w:color w:val="0000FF"/>
        </w:rPr>
        <w:t>Consent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-213360</wp:posOffset>
            </wp:positionV>
            <wp:extent cx="13487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134874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-7620</wp:posOffset>
            </wp:positionV>
            <wp:extent cx="1456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1456690" cy="8890"/>
                    </a:xfrm>
                    <a:prstGeom prst="rect">
                      <a:avLst/>
                    </a:prstGeom>
                    <a:noFill/>
                  </pic:spPr>
                </pic:pic>
              </a:graphicData>
            </a:graphic>
          </wp:anchor>
        </w:drawing>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5"/>
              </w:rPr>
              <w:t>24.1</w:t>
            </w:r>
          </w:p>
        </w:tc>
        <w:tc>
          <w:tcPr>
            <w:tcW w:w="4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Powers of Attorney (included as part of the signature pages hereto)</w:t>
            </w:r>
          </w:p>
        </w:tc>
        <w:tc>
          <w:tcPr>
            <w:tcW w:w="4900" w:type="dxa"/>
            <w:vAlign w:val="bottom"/>
            <w:gridSpan w:val="5"/>
          </w:tcPr>
          <w:p>
            <w:pPr>
              <w:spacing w:after="0"/>
              <w:rPr>
                <w:sz w:val="18"/>
                <w:szCs w:val="18"/>
                <w:color w:val="auto"/>
              </w:rPr>
            </w:pPr>
          </w:p>
        </w:tc>
      </w:tr>
      <w:tr>
        <w:trPr>
          <w:trHeight w:val="304"/>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5"/>
              </w:rPr>
              <w:t>31.1</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 Certification of Phillip D. Yeager, Chief Executive Officer</w:t>
            </w:r>
          </w:p>
        </w:tc>
      </w:tr>
      <w:tr>
        <w:trPr>
          <w:trHeight w:val="304"/>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5"/>
              </w:rPr>
              <w:t>31.2</w:t>
            </w:r>
          </w:p>
        </w:tc>
        <w:tc>
          <w:tcPr>
            <w:tcW w:w="51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 Certification of Kevin W. Beth, Chief Financial Officer</w:t>
            </w:r>
          </w:p>
        </w:tc>
        <w:tc>
          <w:tcPr>
            <w:tcW w:w="2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380" w:type="dxa"/>
            <w:vAlign w:val="bottom"/>
            <w:gridSpan w:val="2"/>
          </w:tcPr>
          <w:p>
            <w:pPr>
              <w:spacing w:after="0"/>
              <w:rPr>
                <w:sz w:val="24"/>
                <w:szCs w:val="24"/>
                <w:color w:val="auto"/>
              </w:rPr>
            </w:pPr>
          </w:p>
        </w:tc>
      </w:tr>
      <w:tr>
        <w:trPr>
          <w:trHeight w:val="304"/>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5"/>
              </w:rPr>
              <w:t>32.1</w:t>
            </w:r>
          </w:p>
        </w:tc>
        <w:tc>
          <w:tcPr>
            <w:tcW w:w="9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Section 1350 Certifications of Phillip D. Yeager and Kevin W. Beth, Chief Executive Officer and Chief Financial Officer, respectively</w:t>
            </w:r>
          </w:p>
        </w:tc>
        <w:tc>
          <w:tcPr>
            <w:tcW w:w="20" w:type="dxa"/>
            <w:vAlign w:val="bottom"/>
            <w:tcBorders>
              <w:bottom w:val="single" w:sz="8" w:color="0000EE"/>
            </w:tcBorders>
          </w:tcPr>
          <w:p>
            <w:pPr>
              <w:spacing w:after="0"/>
              <w:rPr>
                <w:sz w:val="24"/>
                <w:szCs w:val="24"/>
                <w:color w:val="auto"/>
              </w:rPr>
            </w:pPr>
          </w:p>
        </w:tc>
      </w:tr>
    </w:tbl>
    <w:p>
      <w:pPr>
        <w:spacing w:after="0" w:line="117" w:lineRule="exact"/>
        <w:rPr>
          <w:sz w:val="20"/>
          <w:szCs w:val="20"/>
          <w:color w:val="auto"/>
        </w:rPr>
      </w:pPr>
    </w:p>
    <w:p>
      <w:pPr>
        <w:ind w:left="920" w:right="560" w:hanging="899"/>
        <w:spacing w:after="0" w:line="282" w:lineRule="auto"/>
        <w:tabs>
          <w:tab w:leader="none" w:pos="920" w:val="left"/>
        </w:tabs>
        <w:numPr>
          <w:ilvl w:val="0"/>
          <w:numId w:val="21"/>
        </w:numPr>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Hub Group, Inc. Compensation Clawback Policy (incorporated by reference to Exhibit 97 to the Registrant's report on Form 10-K filed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February 27,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62077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2077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8788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878840" cy="8890"/>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color w:val="auto"/>
        </w:rPr>
      </w:pPr>
    </w:p>
    <w:p>
      <w:pPr>
        <w:ind w:left="920" w:right="280" w:hanging="899"/>
        <w:spacing w:after="0" w:line="282"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Document Set for the consolidated financial statements and accompanying notes in Part II, Item 8, “Financial Statements and Supplementary Data” of this Annual Report on Form 10-K</w:t>
      </w:r>
    </w:p>
    <w:p>
      <w:pPr>
        <w:spacing w:after="0" w:line="54" w:lineRule="exact"/>
        <w:rPr>
          <w:rFonts w:ascii="Times New Roman" w:cs="Times New Roman" w:eastAsia="Times New Roman" w:hAnsi="Times New Roman"/>
          <w:sz w:val="18"/>
          <w:szCs w:val="18"/>
          <w:color w:val="auto"/>
        </w:rPr>
      </w:pPr>
    </w:p>
    <w:p>
      <w:pPr>
        <w:ind w:left="920" w:hanging="899"/>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Annual Report on Form 10-K, included in the Exhibit 101 Inline XBRL Document Set</w:t>
      </w:r>
    </w:p>
    <w:p>
      <w:pPr>
        <w:spacing w:after="0" w:line="2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Management contract or compensatory plan or arrangement.</w:t>
      </w:r>
    </w:p>
    <w:p>
      <w:pPr>
        <w:spacing w:after="0" w:line="188"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6" w:name="page67"/>
    <w:bookmarkEnd w:id="66"/>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7"/>
          <w:szCs w:val="17"/>
          <w:color w:val="auto"/>
        </w:rPr>
        <w:t>HUB GROUP, INC.</w:t>
      </w:r>
    </w:p>
    <w:p>
      <w:pPr>
        <w:spacing w:after="0" w:line="131"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PHILLIP D. YEAGER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Phillip D. Yeager</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Vice Chairman of the Board of Directors, President</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the undersigned directors and officers of the registrant, hereby severally constitute Phillip D. Yeager and Kevin W. Beth and each of them singly, our true and lawful attorneys with full power to them and each of them to sign for us, and in our names in the capacities indicated below, any and all amendments to this Annual Report on Form 10-K filed with the Securities and Exchange Commission.</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right="180"/>
        <w:spacing w:after="0" w:line="316" w:lineRule="auto"/>
        <w:rPr>
          <w:sz w:val="20"/>
          <w:szCs w:val="20"/>
          <w:color w:val="auto"/>
        </w:rPr>
      </w:pPr>
      <w:r>
        <w:rPr>
          <w:rFonts w:ascii="Times New Roman" w:cs="Times New Roman" w:eastAsia="Times New Roman" w:hAnsi="Times New Roman"/>
          <w:sz w:val="16"/>
          <w:szCs w:val="16"/>
          <w:color w:val="auto"/>
        </w:rPr>
        <w:t>/s/ Phillip D. Yeager Phillip D. Yeager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17" w:lineRule="exact"/>
        <w:rPr>
          <w:sz w:val="20"/>
          <w:szCs w:val="20"/>
          <w:color w:val="auto"/>
        </w:rPr>
      </w:pPr>
    </w:p>
    <w:p>
      <w:pPr>
        <w:ind w:left="20" w:right="340"/>
        <w:spacing w:after="0" w:line="316" w:lineRule="auto"/>
        <w:rPr>
          <w:sz w:val="20"/>
          <w:szCs w:val="20"/>
          <w:color w:val="auto"/>
        </w:rPr>
      </w:pPr>
      <w:r>
        <w:rPr>
          <w:rFonts w:ascii="Times New Roman" w:cs="Times New Roman" w:eastAsia="Times New Roman" w:hAnsi="Times New Roman"/>
          <w:sz w:val="16"/>
          <w:szCs w:val="16"/>
          <w:color w:val="auto"/>
        </w:rPr>
        <w:t>/s/ Kevin W. Beth Kevin W. Beth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right="220"/>
        <w:spacing w:after="0" w:line="316" w:lineRule="auto"/>
        <w:rPr>
          <w:sz w:val="20"/>
          <w:szCs w:val="20"/>
          <w:color w:val="auto"/>
        </w:rPr>
      </w:pPr>
      <w:r>
        <w:rPr>
          <w:rFonts w:ascii="Times New Roman" w:cs="Times New Roman" w:eastAsia="Times New Roman" w:hAnsi="Times New Roman"/>
          <w:sz w:val="16"/>
          <w:szCs w:val="16"/>
          <w:color w:val="auto"/>
        </w:rPr>
        <w:t>/s/ Brent M. Rhodes Brent M.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right="240"/>
        <w:spacing w:after="0" w:line="316" w:lineRule="auto"/>
        <w:rPr>
          <w:sz w:val="20"/>
          <w:szCs w:val="20"/>
          <w:color w:val="auto"/>
        </w:rPr>
      </w:pPr>
      <w:r>
        <w:rPr>
          <w:rFonts w:ascii="Times New Roman" w:cs="Times New Roman" w:eastAsia="Times New Roman" w:hAnsi="Times New Roman"/>
          <w:sz w:val="16"/>
          <w:szCs w:val="16"/>
          <w:color w:val="auto"/>
        </w:rPr>
        <w:t>/s/ David P. Yeager David P. Yeager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right="180"/>
        <w:spacing w:after="0" w:line="316" w:lineRule="auto"/>
        <w:rPr>
          <w:sz w:val="20"/>
          <w:szCs w:val="20"/>
          <w:color w:val="auto"/>
        </w:rPr>
      </w:pPr>
      <w:r>
        <w:rPr>
          <w:rFonts w:ascii="Times New Roman" w:cs="Times New Roman" w:eastAsia="Times New Roman" w:hAnsi="Times New Roman"/>
          <w:sz w:val="16"/>
          <w:szCs w:val="16"/>
          <w:color w:val="auto"/>
        </w:rPr>
        <w:t>/s/ Mary H. Boosalis Mary H. Boosalis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right="500"/>
        <w:spacing w:after="0" w:line="316" w:lineRule="auto"/>
        <w:rPr>
          <w:sz w:val="20"/>
          <w:szCs w:val="20"/>
          <w:color w:val="auto"/>
        </w:rPr>
      </w:pPr>
      <w:r>
        <w:rPr>
          <w:rFonts w:ascii="Times New Roman" w:cs="Times New Roman" w:eastAsia="Times New Roman" w:hAnsi="Times New Roman"/>
          <w:sz w:val="16"/>
          <w:szCs w:val="16"/>
          <w:color w:val="auto"/>
        </w:rPr>
        <w:t>/s/ Lisa Dykstra Lisa Dykstra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spacing w:after="0" w:line="316" w:lineRule="auto"/>
        <w:rPr>
          <w:sz w:val="20"/>
          <w:szCs w:val="20"/>
          <w:color w:val="auto"/>
        </w:rPr>
      </w:pPr>
      <w:r>
        <w:rPr>
          <w:rFonts w:ascii="Times New Roman" w:cs="Times New Roman" w:eastAsia="Times New Roman" w:hAnsi="Times New Roman"/>
          <w:sz w:val="16"/>
          <w:szCs w:val="16"/>
          <w:color w:val="auto"/>
        </w:rPr>
        <w:t>/s/ Michael E. Flannery Michael E.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right="260"/>
        <w:spacing w:after="0" w:line="316" w:lineRule="auto"/>
        <w:rPr>
          <w:sz w:val="20"/>
          <w:szCs w:val="20"/>
          <w:color w:val="auto"/>
        </w:rPr>
      </w:pPr>
      <w:r>
        <w:rPr>
          <w:rFonts w:ascii="Times New Roman" w:cs="Times New Roman" w:eastAsia="Times New Roman" w:hAnsi="Times New Roman"/>
          <w:sz w:val="16"/>
          <w:szCs w:val="16"/>
          <w:color w:val="auto"/>
        </w:rPr>
        <w:t>/s/ James C. Kenny James C.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right="300"/>
        <w:spacing w:after="0" w:line="316" w:lineRule="auto"/>
        <w:rPr>
          <w:sz w:val="20"/>
          <w:szCs w:val="20"/>
          <w:color w:val="auto"/>
        </w:rPr>
      </w:pPr>
      <w:r>
        <w:rPr>
          <w:rFonts w:ascii="Times New Roman" w:cs="Times New Roman" w:eastAsia="Times New Roman" w:hAnsi="Times New Roman"/>
          <w:sz w:val="16"/>
          <w:szCs w:val="16"/>
          <w:color w:val="auto"/>
        </w:rPr>
        <w:t>/s/ Peter B. McNitt Peter B. McNitt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Jenell Ross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Jenell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2172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1" w:lineRule="exact"/>
        <w:rPr>
          <w:sz w:val="20"/>
          <w:szCs w:val="20"/>
          <w:color w:val="auto"/>
        </w:rPr>
      </w:pPr>
    </w:p>
    <w:p>
      <w:pPr>
        <w:ind w:left="20" w:right="340"/>
        <w:spacing w:after="0" w:line="316" w:lineRule="auto"/>
        <w:rPr>
          <w:sz w:val="20"/>
          <w:szCs w:val="20"/>
          <w:color w:val="auto"/>
        </w:rPr>
      </w:pPr>
      <w:r>
        <w:rPr>
          <w:rFonts w:ascii="Times New Roman" w:cs="Times New Roman" w:eastAsia="Times New Roman" w:hAnsi="Times New Roman"/>
          <w:sz w:val="16"/>
          <w:szCs w:val="16"/>
          <w:color w:val="auto"/>
        </w:rPr>
        <w:t>/s/ Martin P. Slark Martin P. Slark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7" w:lineRule="exact"/>
        <w:rPr>
          <w:sz w:val="20"/>
          <w:szCs w:val="20"/>
          <w:color w:val="auto"/>
        </w:rPr>
      </w:pPr>
    </w:p>
    <w:p>
      <w:pPr>
        <w:ind w:left="20" w:right="480"/>
        <w:spacing w:after="0" w:line="316" w:lineRule="auto"/>
        <w:rPr>
          <w:sz w:val="20"/>
          <w:szCs w:val="20"/>
          <w:color w:val="auto"/>
        </w:rPr>
      </w:pPr>
      <w:r>
        <w:rPr>
          <w:rFonts w:ascii="Times New Roman" w:cs="Times New Roman" w:eastAsia="Times New Roman" w:hAnsi="Times New Roman"/>
          <w:sz w:val="16"/>
          <w:szCs w:val="16"/>
          <w:color w:val="auto"/>
        </w:rPr>
        <w:t>/s/ Gary Yablon Gary Yablon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2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3640"/>
        <w:spacing w:after="0"/>
        <w:tabs>
          <w:tab w:leader="none" w:pos="82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Date</w:t>
      </w:r>
    </w:p>
    <w:p>
      <w:pPr>
        <w:spacing w:after="0" w:line="235"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Vice Chairman of the Board of Directors, President and Chief Executive Officer (Principal Executive Officer)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Executive Vice President, Chief Financial Officer and Treasurer (Principal Financial Officer)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Executive Vice President and Chief Accounting Officer (Principal Accounting Officer)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Executive Chairman of the Board of Directors</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37" w:lineRule="exact"/>
        <w:rPr>
          <w:sz w:val="20"/>
          <w:szCs w:val="20"/>
          <w:color w:val="auto"/>
        </w:rPr>
      </w:pPr>
    </w:p>
    <w:p>
      <w:pPr>
        <w:spacing w:after="0"/>
        <w:tabs>
          <w:tab w:leader="none" w:pos="7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1028065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540" w:space="520"/>
            <w:col w:w="9180"/>
          </w:cols>
          <w:pgMar w:left="320" w:top="1093" w:right="3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4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the Company’s Common Stock Registered</w:t>
      </w:r>
    </w:p>
    <w:p>
      <w:pPr>
        <w:spacing w:after="0" w:line="1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u w:val="single" w:color="auto"/>
          <w:color w:val="auto"/>
        </w:rPr>
        <w:t>Under Section 12 of the Securities Exchange Act of 1934</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The following summary of the Class A Common Stock (par value $0.01 per share) of Hub Group, Inc. (“Hub Group” or the “Company”) is based on and qualified by the Company’s Certificate of Incorporation (the “Certificate”) and Amended and Restated Bylaws, as amended (the “Amended Bylaws”). For a complete description of the terms and provisions of the Company’s equity securities, including its Common Stock, refer to the Certificate of Incorporation and Amended Bylaws, each of which is filed or incorporated by reference as an exhibit to this Annual Report on Form 10-K.</w:t>
      </w:r>
    </w:p>
    <w:p>
      <w:pPr>
        <w:spacing w:after="0" w:line="20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Hub Group’s Certificate of Incorporation authorizes the issuance of 97,337,700 shares of Class A Common Stock (“Class A Common Stock”), 662,300 shares of Class B Common Stock (“Class B Common Stock”) and 2,000,000 shares of preferred stock (“Preferred Stock”), all with a par value of $0.01 per share.</w:t>
      </w:r>
    </w:p>
    <w:p>
      <w:pPr>
        <w:spacing w:after="0" w:line="196" w:lineRule="exact"/>
        <w:rPr>
          <w:sz w:val="20"/>
          <w:szCs w:val="20"/>
          <w:color w:val="auto"/>
        </w:rPr>
      </w:pPr>
    </w:p>
    <w:p>
      <w:pPr>
        <w:jc w:val="both"/>
        <w:ind w:firstLine="941"/>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Voting Rights </w:t>
      </w:r>
      <w:r>
        <w:rPr>
          <w:rFonts w:ascii="Times New Roman" w:cs="Times New Roman" w:eastAsia="Times New Roman" w:hAnsi="Times New Roman"/>
          <w:sz w:val="22"/>
          <w:szCs w:val="22"/>
          <w:color w:val="auto"/>
        </w:rPr>
        <w:t>. The holders of Class A Common Stock have one vote per share and the holders of the Class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have 20 votes per share. Except as otherwise required by law, the holders of the Class A Common Stock and the Class B Common Stock vote together as a single class with respect to all matters submitted for a vote of stockholders. Shares of Class A Common Stock and Class B Common Stock do not have cumulative voting rights.</w:t>
      </w:r>
    </w:p>
    <w:p>
      <w:pPr>
        <w:spacing w:after="0" w:line="199"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i w:val="1"/>
          <w:iCs w:val="1"/>
          <w:color w:val="auto"/>
        </w:rPr>
        <w:t>Dividend Rights</w:t>
      </w:r>
      <w:r>
        <w:rPr>
          <w:rFonts w:ascii="Times New Roman" w:cs="Times New Roman" w:eastAsia="Times New Roman" w:hAnsi="Times New Roman"/>
          <w:sz w:val="22"/>
          <w:szCs w:val="22"/>
          <w:color w:val="auto"/>
        </w:rPr>
        <w:t>. Each share of Class A Common Stock and Class B Common Stock is entitled to dividends if, as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when dividends are declared by the Company’s Board of Directors (“Board”). Any dividend declared and payable in cash, our capital stock (other than Class A Common Stock or Class B Common Stock) or other property must be paid equally on a share-for-share basis on Class A Common Stock and Class B Common Stock. Dividends and distributions payable in shares of Class A Common Stock may be paid only on shares of Class A Common Stock, and dividends and distributions payable in shares of Class B Common Stock may be paid only on shares of Class B Common Stock. If a dividend or distribution payable in Class A Common Stock is made on Class A Common Stock, the number of votes per share to which the holders of Class B Common Stock are entitled will be adjusted in order to keep the voting power of the Class B Common Stock consistent with the voting power of the Class B Common Stock prior to the dividend or distribution of shares of Class A Common Stock. If a dividend or distribution payable in Class B Common Stock is made on Class B Common Stock, a simultaneous and equivalent dividend or distribution in Class A Common Stock must be made on Class A Common Stock.</w:t>
      </w:r>
    </w:p>
    <w:p>
      <w:pPr>
        <w:spacing w:after="0" w:line="20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2"/>
          <w:szCs w:val="22"/>
          <w:i w:val="1"/>
          <w:iCs w:val="1"/>
          <w:color w:val="auto"/>
        </w:rPr>
        <w:t>Conversion Rights</w:t>
      </w:r>
      <w:r>
        <w:rPr>
          <w:rFonts w:ascii="Times New Roman" w:cs="Times New Roman" w:eastAsia="Times New Roman" w:hAnsi="Times New Roman"/>
          <w:sz w:val="22"/>
          <w:szCs w:val="22"/>
          <w:color w:val="auto"/>
        </w:rPr>
        <w:t>. The Class A Common Stock is not convertible. Each share of Class B Common Stock is convertible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into one share of Class A Common Stock at any time at the option of and without cost to the holder thereof. In addition, the Class B Common Stock automatically converts on a share-for-share basis into a Class A Common Stock in the event of certain transfers of the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69" w:name="page70"/>
    <w:bookmarkEnd w:id="69"/>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Liquidation Rights</w:t>
      </w:r>
      <w:r>
        <w:rPr>
          <w:rFonts w:ascii="Times New Roman" w:cs="Times New Roman" w:eastAsia="Times New Roman" w:hAnsi="Times New Roman"/>
          <w:sz w:val="22"/>
          <w:szCs w:val="22"/>
          <w:color w:val="auto"/>
        </w:rPr>
        <w:t>. The holders of the Class A Common Stock and the holders of the Class B Common Stock are entitled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participate equally on a share-for-share basis in all distributions to the holders of Common Stock in any liquidation, distribution or winding up of Hub Group, subject to the rights of the holders of any class or series of Preferred Stock. If a dividend or distribution payable in Class A Common Stock is made on the Class A Common Stock, the liquidation preference on the Class B Common Stock will be adjusted proportionately.</w:t>
      </w:r>
    </w:p>
    <w:p>
      <w:pPr>
        <w:spacing w:after="0" w:line="20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Preemptive Rights</w:t>
      </w:r>
      <w:r>
        <w:rPr>
          <w:rFonts w:ascii="Times New Roman" w:cs="Times New Roman" w:eastAsia="Times New Roman" w:hAnsi="Times New Roman"/>
          <w:sz w:val="22"/>
          <w:szCs w:val="22"/>
          <w:color w:val="auto"/>
        </w:rPr>
        <w:t>. Neither the holders of Class A Common Stock nor the holders of Class B Common Stock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preemptive rights to purchase shares of any class of our capital stock.</w:t>
      </w:r>
    </w:p>
    <w:p>
      <w:pPr>
        <w:spacing w:after="0" w:line="1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Redemption and Sinking Fund Privileges</w:t>
      </w:r>
      <w:r>
        <w:rPr>
          <w:rFonts w:ascii="Times New Roman" w:cs="Times New Roman" w:eastAsia="Times New Roman" w:hAnsi="Times New Roman"/>
          <w:sz w:val="22"/>
          <w:szCs w:val="22"/>
          <w:color w:val="auto"/>
        </w:rPr>
        <w:t>. Neither the holders of the Class A Common Stock nor the holders of the Class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 Common Stock have any redemption or sinking fund privileges.</w:t>
      </w:r>
    </w:p>
    <w:p>
      <w:pPr>
        <w:spacing w:after="0" w:line="17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2"/>
          <w:szCs w:val="22"/>
          <w:i w:val="1"/>
          <w:iCs w:val="1"/>
          <w:color w:val="auto"/>
        </w:rPr>
        <w:t>Other Terms</w:t>
      </w:r>
      <w:r>
        <w:rPr>
          <w:rFonts w:ascii="Times New Roman" w:cs="Times New Roman" w:eastAsia="Times New Roman" w:hAnsi="Times New Roman"/>
          <w:sz w:val="22"/>
          <w:szCs w:val="22"/>
          <w:color w:val="auto"/>
        </w:rPr>
        <w:t>. Upon any subdivision, consolidation, reclassification or other change in the Class A Common Stock,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 B Common Stock will be adjusted proportionately such that the Class B Common Stock retains the same relative voting power as prior to the subdivision, consolidation, reclassification or other change. The Class B Common Stock may not be subdivided, consolidated, reclassified or otherwise changed unless contemporaneously therewith the Class A Common Stock is subdivided, consolidated, reclassified or otherwise changed in the same proportion and in the same manner.</w:t>
      </w:r>
    </w:p>
    <w:p>
      <w:pPr>
        <w:spacing w:after="0" w:line="20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In any merger, consolidation or business combination, the consideration to be received per share by holders of either Class A Common Stock or Class B Common Stock must be identical to that received by holders of the other class of Common Stock, except that in any such transaction in which shares of capital stock are distributed, such shares may differ as to voting rights only to the extent that voting rights now differ between Class A Common Stock and Class B Common Stock.</w:t>
      </w:r>
    </w:p>
    <w:p>
      <w:pPr>
        <w:spacing w:after="0" w:line="20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Issuance of Preferred Stock. </w:t>
      </w:r>
      <w:r>
        <w:rPr>
          <w:rFonts w:ascii="Times New Roman" w:cs="Times New Roman" w:eastAsia="Times New Roman" w:hAnsi="Times New Roman"/>
          <w:sz w:val="22"/>
          <w:szCs w:val="22"/>
          <w:color w:val="auto"/>
        </w:rPr>
        <w:t>Hub Group’s Preferred Stock is issuable at any time, and from time to time, in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and series and bearing such voting, dividend, conversion, liquidation and other rights and preferences as the Board may determine. The Preferred Stock could be issued for any lawful corporate purpose without further action by the shareholders. The issuance of any Preferred Stock having conversion rights could have the effect of diluting the interests of the other shareholders. Shares of Preferred Stock also could be issued with such rights, privileges and preferences as would deter a tender or exchange offer or to discourage the acquisition of control of the Company.</w:t>
      </w:r>
    </w:p>
    <w:p>
      <w:pPr>
        <w:spacing w:after="0" w:line="200" w:lineRule="exact"/>
        <w:rPr>
          <w:sz w:val="20"/>
          <w:szCs w:val="20"/>
          <w:color w:val="auto"/>
        </w:rPr>
      </w:pPr>
    </w:p>
    <w:p>
      <w:pPr>
        <w:spacing w:after="0" w:line="24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Provisions in Hub Group’s Certificate of Incorporation. </w:t>
      </w:r>
      <w:r>
        <w:rPr>
          <w:rFonts w:ascii="Times New Roman" w:cs="Times New Roman" w:eastAsia="Times New Roman" w:hAnsi="Times New Roman"/>
          <w:sz w:val="22"/>
          <w:szCs w:val="22"/>
          <w:color w:val="auto"/>
        </w:rPr>
        <w:t>Hub Group’s Certificate of Incorporation contain certain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that could impede or delay a change in control of the Company, including:</w:t>
      </w:r>
    </w:p>
    <w:p>
      <w:pPr>
        <w:spacing w:after="0" w:line="181" w:lineRule="exact"/>
        <w:rPr>
          <w:sz w:val="20"/>
          <w:szCs w:val="20"/>
          <w:color w:val="auto"/>
        </w:rPr>
      </w:pPr>
    </w:p>
    <w:p>
      <w:pPr>
        <w:jc w:val="both"/>
        <w:ind w:left="760" w:hanging="378"/>
        <w:spacing w:after="0" w:line="261" w:lineRule="auto"/>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sufficient shares of Class B Common Stock are converted to shares of Class A Common Stock or we issue sufficient shares of Class A Common Stock to dilute the voting power of the holders of the Class B Common Stock, the holders of Class B Common Stock will have the power to defeat any attempt to acquire control of Hub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0" w:name="page71"/>
    <w:bookmarkEnd w:id="70"/>
    <w:p>
      <w:pPr>
        <w:jc w:val="both"/>
        <w:ind w:left="378"/>
        <w:spacing w:after="0" w:line="234" w:lineRule="auto"/>
        <w:rPr>
          <w:sz w:val="20"/>
          <w:szCs w:val="20"/>
          <w:color w:val="auto"/>
        </w:rPr>
      </w:pPr>
      <w:r>
        <w:rPr>
          <w:rFonts w:ascii="Times New Roman" w:cs="Times New Roman" w:eastAsia="Times New Roman" w:hAnsi="Times New Roman"/>
          <w:sz w:val="22"/>
          <w:szCs w:val="22"/>
          <w:color w:val="auto"/>
        </w:rPr>
        <w:t>even though such a change in control may be favored by stockholders holding substantially more than a majority of our outstanding shares of Class A Common Stock. This may have the effect of precluding holders of Class A Common Stock from receiving any premium above market price for their shares which may be offered in connection with any such attempt to acquire control. The holders of Class B Common Stock will also generally have the power to effect certain fundamental corporate changes, such as a sale of substantially all of our assets, a merger involving us, or an amendment to our certificate of incorporation that does not directly affect the rights of holders of Class A Common Stock, without the approval of holders of Class A Common Stock. The holders of the Class B Common Stock have agreed to vote their shares of Class B Common Stock in accordance with the vote of the holders of a majority of such shares.</w:t>
      </w:r>
    </w:p>
    <w:p>
      <w:pPr>
        <w:spacing w:after="0" w:line="210" w:lineRule="exact"/>
        <w:rPr>
          <w:sz w:val="20"/>
          <w:szCs w:val="20"/>
          <w:color w:val="auto"/>
        </w:rPr>
      </w:pPr>
    </w:p>
    <w:p>
      <w:pPr>
        <w:jc w:val="both"/>
        <w:ind w:left="378" w:hanging="378"/>
        <w:spacing w:after="0" w:line="238" w:lineRule="auto"/>
        <w:tabs>
          <w:tab w:leader="none" w:pos="37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provision that allows directors, in determining whether to take or refrain from taking corporate action on any matter, including proposing any matter to the stockholders of the Corporation, to take into account the long-term as well as short-term interests of the Company and its stockholders (including the possibility that these interests may be best served by the continued independence of the Company), employees, customers, and other constituencies of the Company, including the effect upon communities in which the Company does business;</w:t>
      </w:r>
    </w:p>
    <w:p>
      <w:pPr>
        <w:spacing w:after="0" w:line="203" w:lineRule="exact"/>
        <w:rPr>
          <w:rFonts w:ascii="Times New Roman" w:cs="Times New Roman" w:eastAsia="Times New Roman" w:hAnsi="Times New Roman"/>
          <w:sz w:val="22"/>
          <w:szCs w:val="22"/>
          <w:color w:val="auto"/>
        </w:rPr>
      </w:pPr>
    </w:p>
    <w:p>
      <w:pPr>
        <w:ind w:left="378" w:hanging="378"/>
        <w:spacing w:after="0" w:line="282" w:lineRule="auto"/>
        <w:tabs>
          <w:tab w:leader="none" w:pos="37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provision that amendments to certain portions of Hub Group’s Certificate of Incorporation must be approved by a two-thirds of the votes that could be cast by the holders of all shares of the Company’s capital stock entitled to vote; and</w:t>
      </w:r>
    </w:p>
    <w:p>
      <w:pPr>
        <w:spacing w:after="0" w:line="161" w:lineRule="exact"/>
        <w:rPr>
          <w:rFonts w:ascii="Times New Roman" w:cs="Times New Roman" w:eastAsia="Times New Roman" w:hAnsi="Times New Roman"/>
          <w:sz w:val="21"/>
          <w:szCs w:val="21"/>
          <w:color w:val="auto"/>
        </w:rPr>
      </w:pPr>
    </w:p>
    <w:p>
      <w:pPr>
        <w:jc w:val="both"/>
        <w:ind w:left="378" w:hanging="378"/>
        <w:spacing w:after="0" w:line="244" w:lineRule="auto"/>
        <w:tabs>
          <w:tab w:leader="none" w:pos="37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provision that any special meeting of shareholders may be called only by the Hub Group’s chairman, chief executive officer, president, Board or the holders of a majority of the votes that could be cast by holders of all shares of capital stock of the Company.</w:t>
      </w:r>
    </w:p>
    <w:p>
      <w:pPr>
        <w:spacing w:after="0" w:line="196" w:lineRule="exact"/>
        <w:rPr>
          <w:rFonts w:ascii="Times New Roman" w:cs="Times New Roman" w:eastAsia="Times New Roman" w:hAnsi="Times New Roman"/>
          <w:sz w:val="22"/>
          <w:szCs w:val="22"/>
          <w:color w:val="auto"/>
        </w:rPr>
      </w:pPr>
    </w:p>
    <w:p>
      <w:pPr>
        <w:ind w:left="378" w:right="20"/>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Provisions in Hub Group’s Amended Bylaws. </w:t>
      </w:r>
      <w:r>
        <w:rPr>
          <w:rFonts w:ascii="Times New Roman" w:cs="Times New Roman" w:eastAsia="Times New Roman" w:hAnsi="Times New Roman"/>
          <w:sz w:val="22"/>
          <w:szCs w:val="22"/>
          <w:color w:val="auto"/>
        </w:rPr>
        <w:t>Hub Group’s Amended Bylaws contain certain provisions that could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impede or delay a change in control of the Company, including:</w:t>
      </w:r>
    </w:p>
    <w:p>
      <w:pPr>
        <w:spacing w:after="0" w:line="180" w:lineRule="exact"/>
        <w:rPr>
          <w:rFonts w:ascii="Times New Roman" w:cs="Times New Roman" w:eastAsia="Times New Roman" w:hAnsi="Times New Roman"/>
          <w:sz w:val="22"/>
          <w:szCs w:val="22"/>
          <w:color w:val="auto"/>
        </w:rPr>
      </w:pPr>
    </w:p>
    <w:p>
      <w:pPr>
        <w:jc w:val="both"/>
        <w:ind w:left="378" w:hanging="378"/>
        <w:spacing w:after="0" w:line="244" w:lineRule="auto"/>
        <w:tabs>
          <w:tab w:leader="none" w:pos="37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provision that amendments to certain portions of Hub Group’s Amended Bylaws must be approved by a holders of shares having 80% of the votes that could be cast by the holders of all shares of the Company’s capital stock entitled to vote; and</w:t>
      </w:r>
    </w:p>
    <w:p>
      <w:pPr>
        <w:spacing w:after="0" w:line="200" w:lineRule="exact"/>
        <w:rPr>
          <w:rFonts w:ascii="Times New Roman" w:cs="Times New Roman" w:eastAsia="Times New Roman" w:hAnsi="Times New Roman"/>
          <w:sz w:val="22"/>
          <w:szCs w:val="22"/>
          <w:color w:val="auto"/>
        </w:rPr>
      </w:pPr>
    </w:p>
    <w:p>
      <w:pPr>
        <w:ind w:left="378" w:hanging="378"/>
        <w:spacing w:after="0" w:line="258" w:lineRule="auto"/>
        <w:tabs>
          <w:tab w:leader="none" w:pos="37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provision establishing certain advance notice procedures for matters (including the nomination of directors) to be considered at an annual meeting of Hub Group’s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996950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DPY STOCKHOLDERS’ AGREEMENT</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THIS DPY STOCKHOLDERS’ AGREEMENT (the “</w:t>
      </w:r>
      <w:r>
        <w:rPr>
          <w:rFonts w:ascii="Times New Roman" w:cs="Times New Roman" w:eastAsia="Times New Roman" w:hAnsi="Times New Roman"/>
          <w:sz w:val="18"/>
          <w:szCs w:val="18"/>
          <w:u w:val="single" w:color="auto"/>
          <w:color w:val="auto"/>
        </w:rPr>
        <w:t>DPY Agreement</w:t>
      </w:r>
      <w:r>
        <w:rPr>
          <w:rFonts w:ascii="Times New Roman" w:cs="Times New Roman" w:eastAsia="Times New Roman" w:hAnsi="Times New Roman"/>
          <w:sz w:val="18"/>
          <w:szCs w:val="18"/>
          <w:color w:val="auto"/>
        </w:rPr>
        <w:t>”) is made as of February 22, 2023, by and among (i) Matthew D. Yeager 2015 GST Trust, (ii) Laura C. Yeager 2015 GST Trust, (iii) Phillip D. Yeager 2015 GST Trust, (iv) David P. Yeager Nonexempt Trust Created Under the Phillip C. Yeager 1994 Trust, (v) David P. Yeager, (vi) Phillip D. Yeager, (vii) Matthew D. Yeager and (viii) Laura Y. Grusecki (each, a “</w:t>
      </w:r>
      <w:r>
        <w:rPr>
          <w:rFonts w:ascii="Times New Roman" w:cs="Times New Roman" w:eastAsia="Times New Roman" w:hAnsi="Times New Roman"/>
          <w:sz w:val="18"/>
          <w:szCs w:val="18"/>
          <w:u w:val="single" w:color="auto"/>
          <w:color w:val="auto"/>
        </w:rPr>
        <w:t>DPY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DPY Stockholders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1" w:lineRule="exact"/>
        <w:rPr>
          <w:sz w:val="20"/>
          <w:szCs w:val="20"/>
          <w:color w:val="auto"/>
        </w:rPr>
      </w:pPr>
    </w:p>
    <w:p>
      <w:pPr>
        <w:jc w:val="both"/>
        <w:ind w:right="5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DPY Stockholders wish to record, among other matters, their understanding regarding the transfer and voting of the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$0.01 par value per share (the “</w:t>
      </w:r>
      <w:r>
        <w:rPr>
          <w:rFonts w:ascii="Times New Roman" w:cs="Times New Roman" w:eastAsia="Times New Roman" w:hAnsi="Times New Roman"/>
          <w:sz w:val="18"/>
          <w:szCs w:val="18"/>
          <w:u w:val="single" w:color="auto"/>
          <w:color w:val="auto"/>
        </w:rPr>
        <w:t>Class B Stock</w:t>
      </w:r>
      <w:r>
        <w:rPr>
          <w:rFonts w:ascii="Times New Roman" w:cs="Times New Roman" w:eastAsia="Times New Roman" w:hAnsi="Times New Roman"/>
          <w:sz w:val="18"/>
          <w:szCs w:val="18"/>
          <w:color w:val="auto"/>
        </w:rPr>
        <w:t>”), of Hub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owned by such DPY Stockholders.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and agreements herein contained, the parties agree as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DPY Agreement, the following terms shall have the following meanings for the purposes of this DPY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 the sale of all or substantially all of the consolidated assets of the Company and the Company subsidiaries to a purchaser other than a Permitted Transferee; (b) a sale resulting in no less than a majority of the Class A Stock being held by a purchaser other than a Permitted Transferee; or (c) a merger, consolidation, recapitalization, or reorganization of the Company with or into a purchaser other than a Permitted Transferee that results in the inability of the DPY Stockholders to designate or elect the board of directors (or its equivalent) of the resulting entity or its parent company.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Stock</w:t>
      </w:r>
      <w:r>
        <w:rPr>
          <w:rFonts w:ascii="Times New Roman" w:cs="Times New Roman" w:eastAsia="Times New Roman" w:hAnsi="Times New Roman"/>
          <w:sz w:val="18"/>
          <w:szCs w:val="18"/>
          <w:color w:val="auto"/>
        </w:rPr>
        <w:t>” shall mean the Class A Common Stock, $0.01 par value per share, of the Company.</w:t>
      </w:r>
    </w:p>
    <w:p>
      <w:pPr>
        <w:spacing w:after="0" w:line="22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Stock</w:t>
      </w:r>
      <w:r>
        <w:rPr>
          <w:rFonts w:ascii="Times New Roman" w:cs="Times New Roman" w:eastAsia="Times New Roman" w:hAnsi="Times New Roman"/>
          <w:sz w:val="18"/>
          <w:szCs w:val="18"/>
          <w:color w:val="auto"/>
        </w:rPr>
        <w:t>” shall have the meaning ascribed thereto in the recitals, together with (a) any shares of Class B Stock that subsequently may be issued or issuable with respect to the Class B Stock including but not limited to as a result of a stock split or dividend or any sale, transfer, assignment or other transaction involving the Class B Stock by the Company, (b) any securities into which the Class B Stock may thereafter be changed as a result of a merger, consolidation, recapitalization or otherwise (other than securities issued upon conversion of Class B Stock pursuant to the terms thereof) and (c) any shares of Class B Stock acquired pursuant to this DPY Agreement.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ascribed thereto in the recitals.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DPY Agreement</w:t>
      </w:r>
      <w:r>
        <w:rPr>
          <w:rFonts w:ascii="Times New Roman" w:cs="Times New Roman" w:eastAsia="Times New Roman" w:hAnsi="Times New Roman"/>
          <w:sz w:val="18"/>
          <w:szCs w:val="18"/>
          <w:color w:val="auto"/>
        </w:rPr>
        <w:t>” shall have the meaning ascribed thereto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72" w:name="page73"/>
    <w:bookmarkEnd w:id="72"/>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DPY Offeree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DPY Offerees</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DPY Stockholder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DPY Stockholders</w:t>
      </w:r>
      <w:r>
        <w:rPr>
          <w:rFonts w:ascii="Times New Roman" w:cs="Times New Roman" w:eastAsia="Times New Roman" w:hAnsi="Times New Roman"/>
          <w:sz w:val="18"/>
          <w:szCs w:val="18"/>
          <w:color w:val="auto"/>
        </w:rPr>
        <w:t xml:space="preserve">” shall have the meanings ascribed thereto in the preamble, together with any Person who becomes subject to this DPY Agreement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Interest</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DPY Stockholder</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David P. Yeager, the spouse of David P. Yeager or any known descendants (whether natural or adopted) of David P. Yeager, any estate of any of the foregoing, any trust for the primary benefit of any one or more of the foregoing and any Person, all of the outstanding equity securities of which are owned by any one or more of the foregoing.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proprietorship, firm, partnership, limited partnership, trust, association or other entity.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Offer</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 Majority</w:t>
      </w:r>
      <w:r>
        <w:rPr>
          <w:rFonts w:ascii="Times New Roman" w:cs="Times New Roman" w:eastAsia="Times New Roman" w:hAnsi="Times New Roman"/>
          <w:sz w:val="18"/>
          <w:szCs w:val="18"/>
          <w:color w:val="auto"/>
        </w:rPr>
        <w:t>” shall mean seventy-five percent or greater.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Meeting</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 xml:space="preserve">” shall have the meaning ascribed thereto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any transaction by which a DPY Stockholder purports to assign its shares of Class B Stock to another Person and shall include a sale, assignment, bequest, pledge, encumbrance, hypothecation, mortgage, exchange or other disposition by law or otherwise. For purposes of this DPY Agreement, the term “Transfer” shall include (a) a DPY Stockholder voting its shares of Class B Stock in favor of a merger of the Company and (b) a conversion of shares of Class B Stock into shares of Class A Stock of the Company pursuant to the Company’s Certificate of Incorporation.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RESTRICTIONS ON TRANSFER</w:t>
      </w:r>
    </w:p>
    <w:p>
      <w:pPr>
        <w:spacing w:after="0" w:line="20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 Transfers of Class B Stock Except in Compliance with Agreement</w:t>
      </w:r>
      <w:r>
        <w:rPr>
          <w:rFonts w:ascii="Times New Roman" w:cs="Times New Roman" w:eastAsia="Times New Roman" w:hAnsi="Times New Roman"/>
          <w:sz w:val="18"/>
          <w:szCs w:val="18"/>
          <w:color w:val="auto"/>
        </w:rPr>
        <w:t xml:space="preserve">. No DPY Stockholder shall Transfer its shares of Class B Stock, except in compliance with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transfer in violation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Transfers Pursuant to a Right of First Refusal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20" w:firstLine="506"/>
        <w:spacing w:after="0" w:line="256" w:lineRule="auto"/>
        <w:tabs>
          <w:tab w:leader="none" w:pos="1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if a DPY Stockholder (the “</w:t>
      </w:r>
      <w:r>
        <w:rPr>
          <w:rFonts w:ascii="Times New Roman" w:cs="Times New Roman" w:eastAsia="Times New Roman" w:hAnsi="Times New Roman"/>
          <w:sz w:val="18"/>
          <w:szCs w:val="18"/>
          <w:u w:val="single" w:color="auto"/>
          <w:color w:val="auto"/>
        </w:rPr>
        <w:t>Offering DPY Stockholder</w:t>
      </w:r>
      <w:r>
        <w:rPr>
          <w:rFonts w:ascii="Times New Roman" w:cs="Times New Roman" w:eastAsia="Times New Roman" w:hAnsi="Times New Roman"/>
          <w:sz w:val="18"/>
          <w:szCs w:val="18"/>
          <w:color w:val="auto"/>
        </w:rPr>
        <w:t>”) desires to Transfer all or any portion of its shares of Class B Stock (all or such portion, as applicable, is hereinafter referred to as the “</w:t>
      </w:r>
      <w:r>
        <w:rPr>
          <w:rFonts w:ascii="Times New Roman" w:cs="Times New Roman" w:eastAsia="Times New Roman" w:hAnsi="Times New Roman"/>
          <w:sz w:val="18"/>
          <w:szCs w:val="18"/>
          <w:u w:val="single" w:color="auto"/>
          <w:color w:val="auto"/>
        </w:rPr>
        <w:t>Offered Interest</w:t>
      </w:r>
      <w:r>
        <w:rPr>
          <w:rFonts w:ascii="Times New Roman" w:cs="Times New Roman" w:eastAsia="Times New Roman" w:hAnsi="Times New Roman"/>
          <w:sz w:val="18"/>
          <w:szCs w:val="18"/>
          <w:color w:val="auto"/>
        </w:rPr>
        <w:t>”) to any Person that is not a Permitted Transferee, or convert such Offered Interest into Class A Stock pursuant to the Company’s Certificate of Incorporation, the Offering DPY Stockholder shall first deliver to each other DPY Stockholder (each, a “</w:t>
      </w:r>
      <w:r>
        <w:rPr>
          <w:rFonts w:ascii="Times New Roman" w:cs="Times New Roman" w:eastAsia="Times New Roman" w:hAnsi="Times New Roman"/>
          <w:sz w:val="18"/>
          <w:szCs w:val="18"/>
          <w:u w:val="single" w:color="auto"/>
          <w:color w:val="auto"/>
        </w:rPr>
        <w:t>DPY Offeree</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DPY Offerees</w:t>
      </w:r>
      <w:r>
        <w:rPr>
          <w:rFonts w:ascii="Times New Roman" w:cs="Times New Roman" w:eastAsia="Times New Roman" w:hAnsi="Times New Roman"/>
          <w:sz w:val="18"/>
          <w:szCs w:val="18"/>
          <w:color w:val="auto"/>
        </w:rPr>
        <w:t>”), a written notice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setting forth an offer to sell the Offered Interest, pro rata to each DPY Offeree in accordance with its percentage ownership of the aggregate number of shares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of Class B Stock held by the DPY Stockholders (excluding the Offered Interest), for a specified cash dollar amount per share (which price in the</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event of a conversion of Class B Stock pursuant to the Company’s Certificate of Incorporation or any other Transfer for which a price is not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specified (such as a sale at prevailing market prices or a share exchange), shall be the closing sale price of the shares of Class A Stock on the</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principal securities market on which the Class A Stock is listed or quoted on the date of the notice) and on specified terms and conditions. For a</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period of 14 days after receipt by the DPY Offeree of an Offer, the DPY Offeree shall have a first right to purchase its pro rata portion of the</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Offered Interest in accordance with its percentage ownership of the aggregate number of shares of Class B Stock held by the DPY Stockholders</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(excluding the Offered Interest). To exercise its rights hereunder, an DPY Offeree must deliver to the Offering DPY Stockholder a written notice</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setting forth the number of shares of Class B Stock such DPY Offeree desires to purchase and, if such DPY Offeree desires to purchase more than</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its pro rata portion of the Offered Interest, a statement of the maximum additional amount of the Offered Interest such DPY Offeree would purchase</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if the other DPY Offerees elect not to purchase their pro rata share. If the DPY Offerees have not timely exercised their rights to purchase in the</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aggregate 100% of the Offered Interest, the Offering DPY Stockholder shall deliver to each other DPY Offeree notice to that effect and offer the</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other DPY Offerees the opportunity to subscribe for additional shares of the Offered Interest on the terms and conditions specified in the Offer (a</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Second Offer</w:t>
      </w:r>
      <w:r>
        <w:rPr>
          <w:rFonts w:ascii="Times New Roman" w:cs="Times New Roman" w:eastAsia="Times New Roman" w:hAnsi="Times New Roman"/>
          <w:sz w:val="17"/>
          <w:szCs w:val="17"/>
          <w:color w:val="auto"/>
        </w:rPr>
        <w:t>”). Shares of the Offered Interest shall be allocated to each DPY Offeree that has timely exercised its right to purchase a portion of the</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Offered Interest pro rata, but not more than such DPY Offeree’s desired maximum amount of shares of Class B Stock, in accordance with such DPY</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Offeree’s percentage ownership of shares of Class B Stock.</w:t>
      </w:r>
    </w:p>
    <w:p>
      <w:pPr>
        <w:spacing w:after="0" w:line="99" w:lineRule="exact"/>
        <w:rPr>
          <w:sz w:val="20"/>
          <w:szCs w:val="20"/>
          <w:color w:val="auto"/>
        </w:rPr>
      </w:pPr>
    </w:p>
    <w:p>
      <w:pPr>
        <w:ind w:left="3" w:firstLine="506"/>
        <w:spacing w:after="0" w:line="254" w:lineRule="auto"/>
        <w:tabs>
          <w:tab w:leader="none" w:pos="7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DPY Offerees shall have timely elected to purchase all or a portion of the Offered Interest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the Offering DPY Stockholder shall sell the Offered Interest to such DPY Offerees at the price and upon the terms and conditions set forth in the Offer, and the parties shall otherwise consummate said transaction no later than 15 days after the delivery of the Offer to the DPY Offerees. In lieu of cash, any DPY Offeree may elect to pay the purchase consideration in (i) cash, (ii) shares of Class A Stock having a fair market value determined two business days prior to the closing date equal to the purchase price of the Class B Stock being purchased by such DPY Offeree,</w:t>
      </w:r>
    </w:p>
    <w:p>
      <w:pPr>
        <w:spacing w:after="0" w:line="3" w:lineRule="exact"/>
        <w:rPr>
          <w:rFonts w:ascii="Times New Roman" w:cs="Times New Roman" w:eastAsia="Times New Roman" w:hAnsi="Times New Roman"/>
          <w:sz w:val="18"/>
          <w:szCs w:val="18"/>
          <w:color w:val="auto"/>
        </w:rPr>
      </w:pPr>
    </w:p>
    <w:p>
      <w:pPr>
        <w:ind w:left="3" w:right="20" w:hanging="3"/>
        <w:spacing w:after="0" w:line="253" w:lineRule="auto"/>
        <w:tabs>
          <w:tab w:leader="none" w:pos="3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in cash or shares of Class A Stock having a fair market value determined two business days prior to the closing date and two-thirds by means of a promissory note that matures on the third anniversary of the closing bearing interest at the applicable federal rate (as published from time-to-time by the Internal Revenue Service) payable annually with one-third of the principal amount due on each anniversary of the closing or (iv) a combination of (i) and (ii).</w:t>
      </w:r>
    </w:p>
    <w:p>
      <w:pPr>
        <w:spacing w:after="0" w:line="80" w:lineRule="exact"/>
        <w:rPr>
          <w:rFonts w:ascii="Times New Roman" w:cs="Times New Roman" w:eastAsia="Times New Roman" w:hAnsi="Times New Roman"/>
          <w:sz w:val="18"/>
          <w:szCs w:val="18"/>
          <w:color w:val="auto"/>
        </w:rPr>
      </w:pPr>
    </w:p>
    <w:p>
      <w:pPr>
        <w:ind w:left="3" w:right="100" w:firstLine="506"/>
        <w:spacing w:after="0" w:line="269" w:lineRule="auto"/>
        <w:tabs>
          <w:tab w:leader="none" w:pos="75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proposal to merge the Company with or into another Person that is not a Permitted Transferee (a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or a proposal by a Person that is not a Permitted Transferee to make an offer to the Company’s shareholders to purchase all or a portion of the Company’s shares (a “</w:t>
      </w:r>
      <w:r>
        <w:rPr>
          <w:rFonts w:ascii="Times New Roman" w:cs="Times New Roman" w:eastAsia="Times New Roman" w:hAnsi="Times New Roman"/>
          <w:sz w:val="17"/>
          <w:szCs w:val="17"/>
          <w:u w:val="single" w:color="auto"/>
          <w:color w:val="auto"/>
        </w:rPr>
        <w:t>Tender Offer</w:t>
      </w:r>
      <w:r>
        <w:rPr>
          <w:rFonts w:ascii="Times New Roman" w:cs="Times New Roman" w:eastAsia="Times New Roman" w:hAnsi="Times New Roman"/>
          <w:sz w:val="17"/>
          <w:szCs w:val="17"/>
          <w:color w:val="auto"/>
        </w:rPr>
        <w:t>”), any DPY Stockholder is authorized to call a meeting of the DPY Stockholders (the “</w:t>
      </w:r>
      <w:r>
        <w:rPr>
          <w:rFonts w:ascii="Times New Roman" w:cs="Times New Roman" w:eastAsia="Times New Roman" w:hAnsi="Times New Roman"/>
          <w:sz w:val="17"/>
          <w:szCs w:val="17"/>
          <w:u w:val="single" w:color="auto"/>
          <w:color w:val="auto"/>
        </w:rPr>
        <w:t>Takeover Meeting</w:t>
      </w:r>
      <w:r>
        <w:rPr>
          <w:rFonts w:ascii="Times New Roman" w:cs="Times New Roman" w:eastAsia="Times New Roman" w:hAnsi="Times New Roman"/>
          <w:sz w:val="17"/>
          <w:szCs w:val="17"/>
          <w:color w:val="auto"/>
        </w:rPr>
        <w:t xml:space="preserve">”) and provide written notice to the DPY Stockholders of such meeting specifying the date, time and place of such meeting. DPY Stockholders may participate in such meeting in person (which may include presence by telephone conference call) or by proxy. The Takeover Meeting must occur before any DPY Stockholder can cast a vote with respect to a Merger or tender shares of Class B Stock in the Tender Offer. Following such Takeover Meeting, any DPY Stockholder desiring to Transfer shares of Class B Stock must follow the procedures specified in </w:t>
      </w:r>
      <w:r>
        <w:rPr>
          <w:rFonts w:ascii="Times New Roman" w:cs="Times New Roman" w:eastAsia="Times New Roman" w:hAnsi="Times New Roman"/>
          <w:sz w:val="17"/>
          <w:szCs w:val="17"/>
          <w:u w:val="single" w:color="auto"/>
          <w:color w:val="auto"/>
        </w:rPr>
        <w:t>Section 2.2(a)</w:t>
      </w:r>
      <w:r>
        <w:rPr>
          <w:rFonts w:ascii="Times New Roman" w:cs="Times New Roman" w:eastAsia="Times New Roman" w:hAnsi="Times New Roman"/>
          <w:sz w:val="17"/>
          <w:szCs w:val="17"/>
          <w:color w:val="auto"/>
        </w:rPr>
        <w:t xml:space="preserve"> prior to voting in favor of a Merger or tendering shares in the Tender Offer;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price per share for the Offered Interest shall be the cash dollar amount offered per share of Class B Stock in such transaction or, in the case of another form of consideration offered per share of Class B Stock, the cash equivalent of the fair market value of such other consideration;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Offering DPY Stockholder shall not be obligated to sell any portion of the Offered Interest pursuant to </w:t>
      </w:r>
      <w:r>
        <w:rPr>
          <w:rFonts w:ascii="Times New Roman" w:cs="Times New Roman" w:eastAsia="Times New Roman" w:hAnsi="Times New Roman"/>
          <w:sz w:val="17"/>
          <w:szCs w:val="17"/>
          <w:u w:val="single" w:color="auto"/>
          <w:color w:val="auto"/>
        </w:rPr>
        <w:t>Section 2.2(a)</w:t>
      </w:r>
      <w:r>
        <w:rPr>
          <w:rFonts w:ascii="Times New Roman" w:cs="Times New Roman" w:eastAsia="Times New Roman" w:hAnsi="Times New Roman"/>
          <w:sz w:val="17"/>
          <w:szCs w:val="17"/>
          <w:color w:val="auto"/>
        </w:rPr>
        <w:t xml:space="preserve"> unless the DPY Offerees purchase 100% of the Offered Interest.</w:t>
      </w:r>
    </w:p>
    <w:p>
      <w:pPr>
        <w:spacing w:after="0" w:line="73" w:lineRule="exact"/>
        <w:rPr>
          <w:rFonts w:ascii="Times New Roman" w:cs="Times New Roman" w:eastAsia="Times New Roman" w:hAnsi="Times New Roman"/>
          <w:sz w:val="17"/>
          <w:szCs w:val="17"/>
          <w:color w:val="auto"/>
        </w:rPr>
      </w:pPr>
    </w:p>
    <w:p>
      <w:pPr>
        <w:ind w:left="3" w:firstLine="506"/>
        <w:spacing w:after="0" w:line="256" w:lineRule="auto"/>
        <w:tabs>
          <w:tab w:leader="none" w:pos="7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DPY Offerees have not elected to purchase all or a portion of the Offered Interest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the Offering DPY Stockholder may, within 5 days following the expiration of other DPY Stockholders right of first refusal under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Transfer the unpurchased portion of the Offered Interest to a Person other than a Permitted Transferee. To the extent that the DPY Offerees, on an aggregate basis, elected to purchase less than all of the Offered Interest in accordance with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the Offering DPY Stockholder may vote in favor of the Merger or tender shares of Class B Stock in the Tender Offer. For the avoidance of doubt, if either (x) the Merger or Tender Offer is terminated</w:t>
      </w:r>
    </w:p>
    <w:p>
      <w:pPr>
        <w:spacing w:after="0" w:line="219"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572770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74" w:name="page75"/>
    <w:bookmarkEnd w:id="74"/>
    <w:p>
      <w:pPr>
        <w:spacing w:after="0" w:line="86"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 xml:space="preserve">or (y) more than 5 days pass following the expiration of other DPY Stockholders right of first refusal under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before any Transfer of the unpurchased portion of the Offered Interest is complete, than any proposed Transfer of all or any portion of the shares of Class B Stock held by the Offering DPY Stockholder shall once again be subject to the provisions of this Article II.</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Transfers to Permitted Transferees</w:t>
      </w:r>
      <w:r>
        <w:rPr>
          <w:rFonts w:ascii="Times New Roman" w:cs="Times New Roman" w:eastAsia="Times New Roman" w:hAnsi="Times New Roman"/>
          <w:sz w:val="18"/>
          <w:szCs w:val="18"/>
          <w:color w:val="auto"/>
        </w:rPr>
        <w:t xml:space="preserve">. A DPY Stockholder may Transfer its shares of Class B Stock to a Permitted Transferee who is not a party to this Agreement if and only if such Permitted Transferee (or the guardian or other legal representative) has agreed in writing to be bound by all of the terms and conditions of this Agreement in the form of the Joinder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VOTING AGREEMENT</w:t>
      </w:r>
    </w:p>
    <w:p>
      <w:pPr>
        <w:spacing w:after="0" w:line="20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DPY Stockholder hereby agrees to vote all of its shares of Class B Stock or to cause all of its shares of Class B Stock to be voted as directed by a majority in interest of the outstanding shares of Class B Stock held by DPY Stockholders present at a meeting of the DPY Stockholders called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at which a quorum is present. In the event (a) that the voting of the Class B Stock present at a meeting of the DPY Stockholders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at which a quorum is present cannot be directed by a majority in interest of such outstanding shares of Class B Stock held by DPY Stockholders present because of a deadlock or (b) because a quorum at a meeting called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cannot be achieved after two attempts, each DPY Stockholder hereby agrees to vote all of its shares of Class B Stock or to cause all of its shares of Class B Stock to be voted as recommended by the independent directors (as defined by NASDAQ, or such other securities exchange on which the Company maintains its primary listing of the Class A Stock) of the Board of Directors of the Company for the matter presented by the Company for stockholder action. Notwithstanding the foregoing, in the event that the subject matter of a stockholder vote results in a Change of Control of the Company, each of the DPY Stockholders hereby agrees to vote all of its shares of Class B Stock or to cause all of its shares of Class B Stock to be voted against such Change of Control unless the Super Majority of the outstanding shares of Class B Stock present at a meeting of the DPY Stockholders called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at which a quorum is present votes in favor of such Change of Control.</w:t>
      </w:r>
    </w:p>
    <w:p>
      <w:pPr>
        <w:spacing w:after="0" w:line="19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DPY Stockholder Vote</w:t>
      </w:r>
      <w:r>
        <w:rPr>
          <w:rFonts w:ascii="Times New Roman" w:cs="Times New Roman" w:eastAsia="Times New Roman" w:hAnsi="Times New Roman"/>
          <w:sz w:val="18"/>
          <w:szCs w:val="18"/>
          <w:color w:val="auto"/>
        </w:rPr>
        <w:t xml:space="preserve">. For purposes of effecting the agreement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DPY Stockholders shall, within five days after receipt by the DPY Stockholders of a notice from the Company calling for a meeting and vote of its stockholders upon any matter, vote (in accordance with their percentage ownership of the aggregate number of shares of Class B Stock held by the DPY Stockholders) to determine how the DPY Stockholders shall vote their shares of Class B Stock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vote required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take place at the Company’s principal executive offices (or such other location as the holders of a majority in interest of the aggregate number of shares of Class B Stock held by the DPY Stockholders may agree) and DPY Stockholders may participate in such vote in person (which may include presence by telephone conference call or other electronic means of communication by which all parties may be heard) or by proxy. The presence, in person or by proxy, of the DPY Stockholders of a majority in interest of the shares of Class B Stock held by the DPY Stockholders shall constitute a quorum at all meetings of the DPY Stockholders called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 the absence of a quorum, the holders of a majority in interest of such shares of Class B Stock present in person or by proxy may adjourn such meeting, from time to time. Notice of a date to reconvene the meeting shall be provided to all DPY Stockholders at least 24 hours in advance of such date. Any shares of Class B Stock held by DPY Stockholders not represented at such meeting shall be deemed to have voted as recommended by the independent directors (as defined by NASDAQ, or such other securities exchange on which the Company maintains the primary listing of the Class A Stock) of the Board of Directors of the Company for the matter presented by the Company for stockholder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vote on a Change of Control the DPY Stockholders will vote against such transaction unless the Super Majority requirements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are met.</w:t>
      </w:r>
    </w:p>
    <w:p>
      <w:pPr>
        <w:spacing w:after="0" w:line="197"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xml:space="preserve">. Notwithstanding any provision contained in this Agreement, any action of the DPY Stockholders may be taken by written consent without a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Class B stockholders with the requisite number of votes vote in favor of such action (i.e. in the case of a vote for a Change of Control a Super Majority votes in favor of such Change of Control). In the event that any DPY Stockholder desires that the DPY Stockholders take any action by written consent, the DPY Stockholder proposing such action shall</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deliver to the other DPY Stockholders a written notice setting forth the matter proposed to be acted upon by the DPY Stockholders and request written approval of such proposed action. Any DPY Stockholder that does not provide such written approval shall be deemed to have voted such DPY Stockholder’s shares of Class B Stock against the matter presented by the proposing DPY Stockholder.</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Standstill Restrictions</w:t>
      </w:r>
      <w:r>
        <w:rPr>
          <w:rFonts w:ascii="Times New Roman" w:cs="Times New Roman" w:eastAsia="Times New Roman" w:hAnsi="Times New Roman"/>
          <w:sz w:val="18"/>
          <w:szCs w:val="18"/>
          <w:color w:val="auto"/>
        </w:rPr>
        <w:t xml:space="preserve">. Except as provided herein or unless otherwise approved by the majority in interest of the outstanding shares of Class B Stock held by DPY Stockholders, each DPY Stockholder hereby agrees not to (a) directly or indirectly make, effect, initiate or cause to be made any stockholder proposals under Rule 14a-8 of the Exchange Act or otherwise at any meeting of the stockholders of the Company or in connection with any action by consent in lieu of a meeting or (b) solicit proxies, designations or written consents of stockholders, or conduct any binding or nonbinding referendum with respect to voting securities of the Company, or make or in any way participate in any “solicitation” of any “proxy” within the meaning of Rule 14a-l of the Exchange Act (but without regard to the exclusion set forth in Rule 14a-l (l)(2)(iv) from the definition of “solicitation”) to vote any voting securities of the Company with respect to any matter, or become a participant in any contested solicitation for the election of directors with respect to the Company (as such terms are defined or used in the Exchange Act), other than solicitations or acting as a participant in support of the voting obligations of the Stockholders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Each DPY Stockholder agrees that any certificates representing Class B Stock now or hereafter owned by such DPY Stockholder will bear the following legend in addition to any legends required by law:</w:t>
      </w:r>
    </w:p>
    <w:p>
      <w:pPr>
        <w:spacing w:after="0" w:line="54" w:lineRule="exact"/>
        <w:rPr>
          <w:sz w:val="20"/>
          <w:szCs w:val="20"/>
          <w:color w:val="auto"/>
        </w:rPr>
      </w:pPr>
    </w:p>
    <w:p>
      <w:pPr>
        <w:ind w:left="520"/>
        <w:spacing w:after="0" w:line="273" w:lineRule="auto"/>
        <w:rPr>
          <w:sz w:val="20"/>
          <w:szCs w:val="20"/>
          <w:color w:val="auto"/>
        </w:rPr>
      </w:pPr>
      <w:r>
        <w:rPr>
          <w:rFonts w:ascii="Times New Roman" w:cs="Times New Roman" w:eastAsia="Times New Roman" w:hAnsi="Times New Roman"/>
          <w:sz w:val="17"/>
          <w:szCs w:val="17"/>
          <w:color w:val="auto"/>
        </w:rPr>
        <w:t>“THE SHARES REPRESENTED BY THIS CERTIFICATE MAY BE TRANSFERRED ONLY IN COMPLIANCE WITH THE TERMS OF THAT CERTAIN DPY STOCKHOLDERS’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FEBRUARY 22, 2023, BY AND AMONG THE MATTHEW D. YEAGER 2015 GST TRUST, THE LAURA C. YEAGER 2015 GST TRUST, THE PHILLIP D. YEAGER 2015 GST TRUST, THE DAVID P. YEAGER NONEXEMPT TRUST CREATED UNDER THE PHILLIP C. YEAGER 1994 TRUST, DAVID P. YEAGER, PHILLIP D. YEAGER, MATTHEW D. YEAGER AND LAURA Y. GRUSECKI, AS IT MAY BE AMENDED FROM TIME TO TIME. A COPY OF THE FORM OF SUCH AGREEMENT IS AVAILABLE FOR INSPECTION AT THE PRINCIPAL OFFICE OF THE COMPANY AND WILL BE FURNISHED WITHOUT CHARGE TO THE REGISTERED HOLDER OF SUCH CERTIFICATE UPON WRITTEN REQUEST.</w:t>
      </w:r>
    </w:p>
    <w:p>
      <w:pPr>
        <w:spacing w:after="0" w:line="63" w:lineRule="exact"/>
        <w:rPr>
          <w:sz w:val="20"/>
          <w:szCs w:val="20"/>
          <w:color w:val="auto"/>
        </w:rPr>
      </w:pPr>
    </w:p>
    <w:p>
      <w:pPr>
        <w:ind w:left="520" w:right="240"/>
        <w:spacing w:after="0" w:line="261" w:lineRule="auto"/>
        <w:rPr>
          <w:sz w:val="20"/>
          <w:szCs w:val="20"/>
          <w:color w:val="auto"/>
        </w:rPr>
      </w:pPr>
      <w:r>
        <w:rPr>
          <w:rFonts w:ascii="Times New Roman" w:cs="Times New Roman" w:eastAsia="Times New Roman" w:hAnsi="Times New Roman"/>
          <w:sz w:val="18"/>
          <w:szCs w:val="18"/>
          <w:color w:val="auto"/>
        </w:rPr>
        <w:t>THE SHARES REPRESENTED BY THIS CERTIFICATE HAVE NOT BEEN REGISTERED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ANY STATE SECURITIES LAWS AND, ACCORDINGLY, MAY NOT BE SOLD OR TRANSFERRED IN THE ABSENCE OF EITHER (1) AN EFFECTIVE REGISTRATION STATEMENT UNDER THE ACT AND APPLICABLE STATE SECURITIES LAWS OR (2) AN EXEMPTION FROM REGISTRATION THEREUNDER.”</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 party hereto shall be in writing and shall be deemed to have been given, (a) when received if delivered in person or by courier or a courier service, (b) on the date of transmission if sent by facsimile or other wire transmission, or (c) three days after being deposited in the U.S. mail, certified or registered mail, postage prepaid, in each case addressed as set forth on the signature pages hereto or to such other address as a party hereto may designate for itself by notice given as herein provided. Whenever this DPY Agreement requires notice to be given, or requires an action to be taken, as of a certain date, such notice or action shall be deemed to have been timely given or taken if such notice is given or such action is taken prior to the date called for by the other provisions of this DPY Agreement.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154"/>
        <w:spacing w:after="0" w:line="282" w:lineRule="auto"/>
        <w:tabs>
          <w:tab w:leader="none" w:pos="13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dispute or controversy of whatever nature arising out of or relating to this Agreement or any other agreements contemplated hereunder, including any dispute or controversy relating to the validity,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enforceability or applicability of this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as well as any action or claim based on tort, contract or statute (including any claims of breach), or concerning the interpretation, effect, termination, validity, performance and/or breach of this Agreement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shall be resolved by final and binding arbitration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before a single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selected from and administered by the American Arbitration Association or its successor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in accordance with its then-existing arbitration rules or procedures regarding commercial or business disputes. The Arbitrator appointed to serve must be a neutral and impartial individual. The Arbitration shall be held in Illinois or such other jurisdiction as determined by the DPY Stockholders holding the then majority of interest, in their sole discretion, which determination shall be binding on all parties.</w:t>
      </w:r>
    </w:p>
    <w:p>
      <w:pPr>
        <w:spacing w:after="0" w:line="187" w:lineRule="exact"/>
        <w:rPr>
          <w:sz w:val="20"/>
          <w:szCs w:val="20"/>
          <w:color w:val="auto"/>
        </w:rPr>
      </w:pPr>
    </w:p>
    <w:p>
      <w:pPr>
        <w:ind w:firstLine="1154"/>
        <w:spacing w:after="0" w:line="254"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 shall, within fifteen (15) calendar days after the conclusion of the Arbitration hearing, issue a written award and statement of decision describing the essential findings and conclusions on which the award is based, including the calculation of any damages awarded. The Arbitrator shall be authorized to award compensatory damages, but shall not be authorized (i) to award non-economic damages, such as for emotional distress, pain and suffering or loss of consortium, (ii) to award punitive damages, or (iii) to reform, modify or materially change this Agreement or any other agreements contemplated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damage limitations described in parts (i) and (ii) of this sentence shall not apply if such damages are statutorily imposed. The Arbitrator also shall be authorized to grant any temporary, preliminary, or permanent equitable remedy or relief it deems just and equitable and within the scope of this Agreement, including an injunction or order for specific performance. The decision of the Arbitrator shall be final and binding.</w:t>
      </w:r>
    </w:p>
    <w:p>
      <w:pPr>
        <w:spacing w:after="0" w:line="191" w:lineRule="exact"/>
        <w:rPr>
          <w:rFonts w:ascii="Times New Roman" w:cs="Times New Roman" w:eastAsia="Times New Roman" w:hAnsi="Times New Roman"/>
          <w:sz w:val="18"/>
          <w:szCs w:val="18"/>
          <w:color w:val="auto"/>
        </w:rPr>
      </w:pPr>
    </w:p>
    <w:p>
      <w:pPr>
        <w:ind w:right="20" w:firstLine="1154"/>
        <w:spacing w:after="0" w:line="256" w:lineRule="auto"/>
        <w:tabs>
          <w:tab w:leader="none" w:pos="13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bear its own attorneys’ fees, costs, and disbursements arising out of the Arbitration and shall pay an equal share of the fees and costs of the AAA and the Arbitrator;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Arbitrator shall be authorized to determine whether a party is the prevailing party, and if so, to award to that prevailing party reimbursement for its reasonable attorneys’ fees, costs, and disbursements (including, for example, expert witness fees and expenses, photocopy charges, travel expenses, etc.) and/or the fees and costs of the AAA and the Arbitrator. Absent the filing of an application to correct or vacate the Arbitration award under applicable law, each party shall fully perform and satisfy the Arbitration award within fifteen (15) calendar days of the service of the award.</w:t>
      </w:r>
    </w:p>
    <w:p>
      <w:pPr>
        <w:spacing w:after="0" w:line="187" w:lineRule="exact"/>
        <w:rPr>
          <w:rFonts w:ascii="Times New Roman" w:cs="Times New Roman" w:eastAsia="Times New Roman" w:hAnsi="Times New Roman"/>
          <w:sz w:val="18"/>
          <w:szCs w:val="18"/>
          <w:color w:val="auto"/>
        </w:rPr>
      </w:pPr>
    </w:p>
    <w:p>
      <w:pPr>
        <w:ind w:right="100" w:firstLine="1154"/>
        <w:spacing w:after="0" w:line="253"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agreeing to this binding arbitration provision, the parties understand that they are waiving certain rights and protections, which may otherwise be available if a Claim between the parties were determined by litigation in court, including the right to seek or obtain certain types of damages precluded by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the right to a jury trial, certain rights of appeal, and a right to invoke formal rules of procedure and evidence. BY EXECUTING THIS AGREEMENT, EACH PARTY HEREBY WAIVES AND COVENANTS NOT TO ASSERT THEIR CONSTITUTIONAL RIGHT TO TRIAL BY JURY OF ANY DISPUTES RELATING TO THIS AGREEMENT AND/OR THE ACTS OR OMISSIONS OF A PARTY HERETO THEREUNDER, WHETHER ARISING IN CONTRACT, TORT OR OTHERWISE ARISING OUT OF, CONNECTED WITH, OR RELATED OR INCIDENTAL TO, THE TRANSACTION GIVING RISE TO THIS AGREEMENT. EACH MEMBER HEREBY WAIVES ANY RIGHTS TO PROCEED BY WAY OF A CLASS ACTION, TO SERVE IN ANY REPRESENTATIVE CAPACITY FOR OTHERS, OR TO ACT AS A PRIVATE ATTORNEY GENERAL IN ANY CLAIM OR CONTROVERSY ARISING IN CONNECTION WITH, OUT OF OR WITH RESPECT TO THIS AGREEMENT, INCLUDING WITH RESPECT TO ANY BREACH, TERMINATION, AMENDMENT, ENFORCEMENT, INTERPRETATION, VALIDITY, OR OTHERWISE. THE WAIVERS CONTAINED HEREIN SHALL BE BINDING UPON THE RESPECTIVE SUCCESSORS AND ASSIGNS OF SUCH PARTIES AND UPON ALL PERSONS AND ENTITIES ASSERTING RIGHTS OR CLAIMS OR OTHERWISE ACTING ON BEHALF OF A PARTY, AND THEIR RESPECTIVE SUCCESSORS AND ASSIGNS.</w:t>
      </w:r>
    </w:p>
    <w:p>
      <w:pPr>
        <w:spacing w:after="0" w:line="18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DPY Agreement shall be binding upon and inure to the benefit of each of the parties hereto and their respective heirs, legal representatives, executors, successors and permitted assigns.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in this DPY Agreement are for convenience of reference only and shall not be deemed to alter or affect any provision hereof or interpretation hereof.</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DPY Agreement may be executed in one or more counterparts, each of which shall be deemed an original, but all of which together shall constitute one and the same instrument.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DPY Agreement shall be governed by and construed in accordance with the internal laws of the State of Delaware without giving effect to the principles of conflicts of law thereof.</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DPY Agreement nor any right or obligation hereunder is assignable in whole or in part, whether by operation of law or otherwise, by any party hereto except (a) with the prior written consent of each of the other parties and (b) assignments made pursuant to, and in accordance with, the other terms of this DPY Agreement in connection with Transfers of shares of Class B Stock made in accordance with the terms of this DPY Agreement.</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The failure of any party hereto at any time or times to require performance of any provision hereof will in no way affect its right at a later time to require the performance of that provision. No waiver by any party of any condition or of any breach of any term or condition contained in this DPY Agreement will be effective unless in writing. No waiver in any one or more instances will be deemed to be a further or continuing waiver of any condition or breach in any other instance or waiver of any other condition or breach.</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acknowledge that monetary damages will be insufficient for a breach of many of the provisions of this DPY Agreement. Therefore, each party agrees that, upon a breach of any provision of this DPY Agreement, the nondefaulting party(ies) may sue for and obtain an injunction or specific performance of such provision in any appropriate court.</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Entire Understanding</w:t>
      </w:r>
      <w:r>
        <w:rPr>
          <w:rFonts w:ascii="Times New Roman" w:cs="Times New Roman" w:eastAsia="Times New Roman" w:hAnsi="Times New Roman"/>
          <w:sz w:val="18"/>
          <w:szCs w:val="18"/>
          <w:color w:val="auto"/>
        </w:rPr>
        <w:t>. This DPY Agreement sets forth the entire agreement and understanding of the parties hereto and supersedes any and all prior agreements, arrangements and understandings among the parties regarding the subject matter hereof.</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DPY Agreement shall be held invalid, illegal or unenforceable, the validity, legality or enforceability of the other provisions hereof shall not be affected thereby, and there shall be deemed substituted for the provision at issue a valid, legal and enforceable provision as similar as possible to the provision at issue.</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DPY Agreement may be amended only by written agreement signed by the DPY Stockholders holding three-fourths of the aggregate number of shares of Class B Stock held by the DPY Stockholders.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This DPY Agreement shall terminate upon an agreement to terminate this DPY Agreement by the written consent of the DPY Stockholders holding three-fourths of the aggregate number of shares of Class B Stock held by the DPY Stockholders, or, as to any DPY Stockholder, when such DPY Stockholder ceases to be a DPY Stockholder due to the Transfer of all of such DPY Stockholder’s shares of Class B Stock in accordance with this DPY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[REST OF PAGE LEFT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DPY Agreement to be executed and delivered effective as of the date first above written.</w:t>
      </w:r>
    </w:p>
    <w:p>
      <w:pPr>
        <w:spacing w:after="0" w:line="200" w:lineRule="exact"/>
        <w:rPr>
          <w:sz w:val="20"/>
          <w:szCs w:val="20"/>
          <w:color w:val="auto"/>
        </w:rPr>
      </w:pPr>
    </w:p>
    <w:p>
      <w:pPr>
        <w:spacing w:after="0" w:line="2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DPY STOCKHOLDERS: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Phillip D. Yeager 2015 GST Trust</w:t>
      </w:r>
    </w:p>
    <w:p>
      <w:pPr>
        <w:spacing w:after="0" w:line="229"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David P. Yeager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David P. Yeager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Laura C. Yeager 2015 GST Trust</w:t>
      </w:r>
    </w:p>
    <w:p>
      <w:pPr>
        <w:spacing w:after="0" w:line="229"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David P. Yeager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David P. Yeager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Matthew D. Yeager 2015 GST Trust</w:t>
      </w:r>
    </w:p>
    <w:p>
      <w:pPr>
        <w:spacing w:after="0" w:line="229"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David P. Yeager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David P. Yeager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David P. Yeager Nonexempt Trust Created Under the</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Phillip C. Yeager 1994 Trust</w:t>
      </w:r>
    </w:p>
    <w:p>
      <w:pPr>
        <w:spacing w:after="0" w:line="207"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David P. Yeager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David P. Yeager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David P. Yeager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David P. Yeager</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Matthew D. Yeager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Matthew D. Yeager</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Phillip D. Yeager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Phillip D. Yeager</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Laura Y. Grusecki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Laura Y. Grusecki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JOINDER TO DPY STOCKHOLDERS’ AGREEMENT</w:t>
      </w:r>
    </w:p>
    <w:p>
      <w:pPr>
        <w:spacing w:after="0" w:line="121"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7"/>
          <w:szCs w:val="17"/>
          <w:color w:val="auto"/>
        </w:rPr>
        <w:t>The undersigned is executing and delivering this joinder (the “</w:t>
      </w:r>
      <w:r>
        <w:rPr>
          <w:rFonts w:ascii="Times New Roman" w:cs="Times New Roman" w:eastAsia="Times New Roman" w:hAnsi="Times New Roman"/>
          <w:sz w:val="17"/>
          <w:szCs w:val="17"/>
          <w:u w:val="single" w:color="auto"/>
          <w:color w:val="auto"/>
        </w:rPr>
        <w:t>Joinder</w:t>
      </w:r>
      <w:r>
        <w:rPr>
          <w:rFonts w:ascii="Times New Roman" w:cs="Times New Roman" w:eastAsia="Times New Roman" w:hAnsi="Times New Roman"/>
          <w:sz w:val="17"/>
          <w:szCs w:val="17"/>
          <w:color w:val="auto"/>
        </w:rPr>
        <w:t>”) pursuant to the DPY Stockholders’ Agreement, dated as of February 22, 2023 (as the same may hereafter be amended, the “</w:t>
      </w:r>
      <w:r>
        <w:rPr>
          <w:rFonts w:ascii="Times New Roman" w:cs="Times New Roman" w:eastAsia="Times New Roman" w:hAnsi="Times New Roman"/>
          <w:sz w:val="17"/>
          <w:szCs w:val="17"/>
          <w:u w:val="single" w:color="auto"/>
          <w:color w:val="auto"/>
        </w:rPr>
        <w:t>DPY Stockholders’ Agreement</w:t>
      </w:r>
      <w:r>
        <w:rPr>
          <w:rFonts w:ascii="Times New Roman" w:cs="Times New Roman" w:eastAsia="Times New Roman" w:hAnsi="Times New Roman"/>
          <w:sz w:val="17"/>
          <w:szCs w:val="17"/>
          <w:color w:val="auto"/>
        </w:rPr>
        <w:t>”), by and among (i) Matthew D. Yeager 2015 GST Trust, (ii) Laura C. Yeager 2015 GST Trust, (iii) Phillip D. Yeager 2015 GST Trust, (iv) David P. Yeager Nonexempt Trust Created Under the Phillip C. Yeager 1994 Trust,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David P. Yeager, (vi) Phillip D. Yeager, (vii) Matthew D. Yeager and (viii) Laura Y. Grusecki.</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By executing and delivering this Joinder to the DPY Stockholders’ Agreement, the undersigned hereby agrees to become a party to, to be bound by, and to comply with the provisions of the DPY Stockholders’ Agreement as a DPY Stockholder (as defined in the DPY Stockholders’ Agreement) in the same manner as if the undersigned were an original signatory to the DPY Stockholders’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 20__</w:t>
      </w:r>
    </w:p>
    <w:p>
      <w:pPr>
        <w:spacing w:after="0" w:line="200" w:lineRule="exact"/>
        <w:rPr>
          <w:sz w:val="20"/>
          <w:szCs w:val="20"/>
          <w:color w:val="auto"/>
        </w:rPr>
      </w:pPr>
    </w:p>
    <w:p>
      <w:pPr>
        <w:spacing w:after="0" w:line="29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17145</wp:posOffset>
            </wp:positionV>
            <wp:extent cx="24517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ind w:left="6780"/>
        <w:spacing w:after="0"/>
        <w:tabs>
          <w:tab w:leader="none" w:pos="7460" w:val="left"/>
        </w:tabs>
        <w:rPr>
          <w:sz w:val="20"/>
          <w:szCs w:val="20"/>
          <w:color w:val="auto"/>
        </w:rPr>
      </w:pPr>
      <w:r>
        <w:rPr>
          <w:rFonts w:ascii="Times New Roman" w:cs="Times New Roman" w:eastAsia="Times New Roman" w:hAnsi="Times New Roman"/>
          <w:sz w:val="18"/>
          <w:szCs w:val="18"/>
          <w:color w:val="auto"/>
        </w:rPr>
        <w:t>Name:</w:t>
        <w:tab/>
        <w:t>[____________________]</w:t>
      </w:r>
    </w:p>
    <w:p>
      <w:pPr>
        <w:spacing w:after="0" w:line="23" w:lineRule="exact"/>
        <w:rPr>
          <w:sz w:val="20"/>
          <w:szCs w:val="20"/>
          <w:color w:val="auto"/>
        </w:rPr>
      </w:pPr>
    </w:p>
    <w:p>
      <w:pPr>
        <w:ind w:left="6780"/>
        <w:spacing w:after="0"/>
        <w:tabs>
          <w:tab w:leader="none" w:pos="7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80" w:name="page81"/>
    <w:bookmarkEnd w:id="80"/>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Hub Group,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INSIDER TRADING POLICY</w:t>
      </w:r>
    </w:p>
    <w:p>
      <w:pPr>
        <w:spacing w:after="0" w:line="212" w:lineRule="exact"/>
        <w:rPr>
          <w:sz w:val="20"/>
          <w:szCs w:val="20"/>
          <w:color w:val="auto"/>
        </w:rPr>
      </w:pPr>
    </w:p>
    <w:p>
      <w:pPr>
        <w:jc w:val="center"/>
        <w:ind w:right="-39"/>
        <w:spacing w:after="0"/>
        <w:rPr>
          <w:sz w:val="20"/>
          <w:szCs w:val="20"/>
          <w:color w:val="auto"/>
        </w:rPr>
      </w:pPr>
      <w:r>
        <w:rPr>
          <w:rFonts w:ascii="Verdana" w:cs="Verdana" w:eastAsia="Verdana" w:hAnsi="Verdana"/>
          <w:sz w:val="16"/>
          <w:szCs w:val="16"/>
          <w:i w:val="1"/>
          <w:iCs w:val="1"/>
          <w:color w:val="auto"/>
        </w:rPr>
        <w:t>Revised, approved and adopted as of February 23, 2023</w:t>
      </w:r>
    </w:p>
    <w:p>
      <w:pPr>
        <w:spacing w:after="0" w:line="228" w:lineRule="exact"/>
        <w:rPr>
          <w:sz w:val="20"/>
          <w:szCs w:val="20"/>
          <w:color w:val="auto"/>
        </w:rPr>
      </w:pPr>
    </w:p>
    <w:p>
      <w:pPr>
        <w:ind w:left="780" w:hanging="747"/>
        <w:spacing w:after="0"/>
        <w:tabs>
          <w:tab w:leader="none" w:pos="780" w:val="left"/>
        </w:tabs>
        <w:numPr>
          <w:ilvl w:val="0"/>
          <w:numId w:val="31"/>
        </w:numPr>
        <w:rPr>
          <w:rFonts w:ascii="Times New Roman" w:cs="Times New Roman" w:eastAsia="Times New Roman" w:hAnsi="Times New Roman"/>
          <w:sz w:val="20"/>
          <w:szCs w:val="20"/>
          <w:b w:val="1"/>
          <w:bCs w:val="1"/>
          <w:color w:val="auto"/>
        </w:rPr>
      </w:pPr>
      <w:r>
        <w:rPr>
          <w:rFonts w:ascii="Verdana" w:cs="Verdana" w:eastAsia="Verdana" w:hAnsi="Verdana"/>
          <w:sz w:val="20"/>
          <w:szCs w:val="20"/>
          <w:b w:val="1"/>
          <w:bCs w:val="1"/>
          <w:color w:val="auto"/>
        </w:rPr>
        <w:t>Introduction</w:t>
      </w:r>
    </w:p>
    <w:p>
      <w:pPr>
        <w:spacing w:after="0" w:line="228" w:lineRule="exact"/>
        <w:rPr>
          <w:sz w:val="20"/>
          <w:szCs w:val="20"/>
          <w:color w:val="auto"/>
        </w:rPr>
      </w:pPr>
    </w:p>
    <w:p>
      <w:pPr>
        <w:jc w:val="both"/>
        <w:ind w:left="40"/>
        <w:spacing w:after="0" w:line="242" w:lineRule="auto"/>
        <w:rPr>
          <w:sz w:val="20"/>
          <w:szCs w:val="20"/>
          <w:color w:val="auto"/>
        </w:rPr>
      </w:pPr>
      <w:r>
        <w:rPr>
          <w:rFonts w:ascii="Verdana" w:cs="Verdana" w:eastAsia="Verdana" w:hAnsi="Verdana"/>
          <w:sz w:val="20"/>
          <w:szCs w:val="20"/>
          <w:color w:val="auto"/>
        </w:rPr>
        <w:t>Federal law prohibits securities trading by individuals in possession of material nonpublic information. Under these laws, employees of Hub Group, Inc. and/or any of its affiliates (collectively, the “Company”), who learn certain information about the Company may not trade in the Company’s common stock or exchange-traded options until that information has been disclosed publicly. Employees also may not tip or give such information to anyone inside or outside the Company. In addition, certain executive employees of the Company are further restricted by Section 16 of the Securities Exchange Act from buying and selling securities at close intervals.</w:t>
      </w:r>
    </w:p>
    <w:p>
      <w:pPr>
        <w:spacing w:after="0" w:line="201" w:lineRule="exact"/>
        <w:rPr>
          <w:sz w:val="20"/>
          <w:szCs w:val="20"/>
          <w:color w:val="auto"/>
        </w:rPr>
      </w:pPr>
    </w:p>
    <w:p>
      <w:pPr>
        <w:jc w:val="both"/>
        <w:ind w:left="40"/>
        <w:spacing w:after="0" w:line="253" w:lineRule="auto"/>
        <w:rPr>
          <w:sz w:val="20"/>
          <w:szCs w:val="20"/>
          <w:color w:val="auto"/>
        </w:rPr>
      </w:pPr>
      <w:r>
        <w:rPr>
          <w:rFonts w:ascii="Verdana" w:cs="Verdana" w:eastAsia="Verdana" w:hAnsi="Verdana"/>
          <w:sz w:val="20"/>
          <w:szCs w:val="20"/>
          <w:color w:val="auto"/>
        </w:rPr>
        <w:t>This policy sets forth who is covered by the insider trading rules, what you can and cannot do legally and who to contact if you have questions about insider trading.</w:t>
      </w:r>
    </w:p>
    <w:p>
      <w:pPr>
        <w:spacing w:after="0" w:line="190" w:lineRule="exact"/>
        <w:rPr>
          <w:sz w:val="20"/>
          <w:szCs w:val="20"/>
          <w:color w:val="auto"/>
        </w:rPr>
      </w:pPr>
    </w:p>
    <w:p>
      <w:pPr>
        <w:ind w:left="780" w:hanging="747"/>
        <w:spacing w:after="0"/>
        <w:tabs>
          <w:tab w:leader="none" w:pos="780" w:val="left"/>
        </w:tabs>
        <w:numPr>
          <w:ilvl w:val="0"/>
          <w:numId w:val="32"/>
        </w:numPr>
        <w:rPr>
          <w:rFonts w:ascii="Times New Roman" w:cs="Times New Roman" w:eastAsia="Times New Roman" w:hAnsi="Times New Roman"/>
          <w:sz w:val="20"/>
          <w:szCs w:val="20"/>
          <w:b w:val="1"/>
          <w:bCs w:val="1"/>
          <w:color w:val="auto"/>
        </w:rPr>
      </w:pPr>
      <w:r>
        <w:rPr>
          <w:rFonts w:ascii="Verdana" w:cs="Verdana" w:eastAsia="Verdana" w:hAnsi="Verdana"/>
          <w:sz w:val="20"/>
          <w:szCs w:val="20"/>
          <w:b w:val="1"/>
          <w:bCs w:val="1"/>
          <w:color w:val="auto"/>
        </w:rPr>
        <w:t>Scope</w:t>
      </w:r>
    </w:p>
    <w:p>
      <w:pPr>
        <w:spacing w:after="0" w:line="228" w:lineRule="exact"/>
        <w:rPr>
          <w:rFonts w:ascii="Times New Roman" w:cs="Times New Roman" w:eastAsia="Times New Roman" w:hAnsi="Times New Roman"/>
          <w:sz w:val="20"/>
          <w:szCs w:val="20"/>
          <w:b w:val="1"/>
          <w:bCs w:val="1"/>
          <w:color w:val="auto"/>
        </w:rPr>
      </w:pPr>
    </w:p>
    <w:p>
      <w:pPr>
        <w:jc w:val="both"/>
        <w:ind w:left="1520" w:hanging="738"/>
        <w:spacing w:after="0" w:line="241" w:lineRule="auto"/>
        <w:tabs>
          <w:tab w:leader="none" w:pos="1520" w:val="left"/>
        </w:tabs>
        <w:numPr>
          <w:ilvl w:val="1"/>
          <w:numId w:val="32"/>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This policy covers all directors, officers and employees of the Company, their family members and other members of a person’s household (collectively referred to as “Insiders”), and any outsiders whom the Compliance Officer (who shall be the General Counsel of the Company) may designate as Insiders because they have access to material nonpublic information concerning the Company. The policy also covers entities controlled by such persons, including any corporations, partnerships or trusts. Additionally, this policy continues to apply to transactions in Company securities even after termination of service to the Company. If an individual is in possession of material nonpublic information when his or her service terminates, that individual continues to be prohibited from trading in Company securities until such information has become public or is no longer material.</w:t>
      </w:r>
    </w:p>
    <w:p>
      <w:pPr>
        <w:spacing w:after="0" w:line="203" w:lineRule="exact"/>
        <w:rPr>
          <w:rFonts w:ascii="Times New Roman" w:cs="Times New Roman" w:eastAsia="Times New Roman" w:hAnsi="Times New Roman"/>
          <w:sz w:val="20"/>
          <w:szCs w:val="20"/>
          <w:color w:val="auto"/>
        </w:rPr>
      </w:pPr>
    </w:p>
    <w:p>
      <w:pPr>
        <w:jc w:val="both"/>
        <w:ind w:left="1520" w:hanging="738"/>
        <w:spacing w:after="0" w:line="242" w:lineRule="auto"/>
        <w:tabs>
          <w:tab w:leader="none" w:pos="1520" w:val="left"/>
        </w:tabs>
        <w:numPr>
          <w:ilvl w:val="1"/>
          <w:numId w:val="32"/>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policy applies to any and all transactions in the Company’s securities, including its common stock and options to purchase common stock, and any other type of securities that the Company may issue, such as preferred stock, convertible debentures, warrants and exchange-traded options or other derivative securities. For the avoidance of doubt, use of term “trade” in this policy refers to both market transactions and other transactions, including private sales, gifts and charitable contributions.</w:t>
      </w:r>
    </w:p>
    <w:p>
      <w:pPr>
        <w:spacing w:after="0" w:line="202" w:lineRule="exact"/>
        <w:rPr>
          <w:rFonts w:ascii="Times New Roman" w:cs="Times New Roman" w:eastAsia="Times New Roman" w:hAnsi="Times New Roman"/>
          <w:sz w:val="20"/>
          <w:szCs w:val="20"/>
          <w:color w:val="auto"/>
        </w:rPr>
      </w:pPr>
    </w:p>
    <w:p>
      <w:pPr>
        <w:jc w:val="both"/>
        <w:ind w:left="1520" w:hanging="738"/>
        <w:spacing w:after="0" w:line="244" w:lineRule="auto"/>
        <w:tabs>
          <w:tab w:leader="none" w:pos="1520" w:val="left"/>
        </w:tabs>
        <w:numPr>
          <w:ilvl w:val="1"/>
          <w:numId w:val="32"/>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policy has been adopted by the Board of Directors and is delivered to all directors, officers, employees and designated outsiders, and to all new directors, officers, employees and designated outsiders at the start of their employment or relationship with the Company. Upon first</w:t>
      </w:r>
    </w:p>
    <w:p>
      <w:pPr>
        <w:spacing w:after="0" w:line="252" w:lineRule="exact"/>
        <w:rPr>
          <w:sz w:val="20"/>
          <w:szCs w:val="20"/>
          <w:color w:val="auto"/>
        </w:rPr>
      </w:pPr>
    </w:p>
    <w:p>
      <w:pPr>
        <w:spacing w:after="0"/>
        <w:rPr>
          <w:sz w:val="20"/>
          <w:szCs w:val="20"/>
          <w:color w:val="auto"/>
        </w:rPr>
      </w:pPr>
      <w:r>
        <w:rPr>
          <w:rFonts w:ascii="Verdana" w:cs="Verdana" w:eastAsia="Verdana" w:hAnsi="Verdana"/>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1" w:name="page82"/>
    <w:bookmarkEnd w:id="81"/>
    <w:p>
      <w:pPr>
        <w:spacing w:after="0" w:line="94" w:lineRule="exact"/>
        <w:rPr>
          <w:sz w:val="20"/>
          <w:szCs w:val="20"/>
          <w:color w:val="auto"/>
        </w:rPr>
      </w:pPr>
    </w:p>
    <w:p>
      <w:pPr>
        <w:jc w:val="both"/>
        <w:ind w:left="1520"/>
        <w:spacing w:after="0" w:line="244" w:lineRule="auto"/>
        <w:rPr>
          <w:sz w:val="20"/>
          <w:szCs w:val="20"/>
          <w:color w:val="auto"/>
        </w:rPr>
      </w:pPr>
      <w:r>
        <w:rPr>
          <w:rFonts w:ascii="Verdana" w:cs="Verdana" w:eastAsia="Verdana" w:hAnsi="Verdana"/>
          <w:sz w:val="20"/>
          <w:szCs w:val="20"/>
          <w:color w:val="auto"/>
        </w:rPr>
        <w:t>receiving a copy of the policy, everyone must sign an acknowledgment that he or she has received a copy and agrees to comply with the policy’s terms. Section 16 Individuals as defined below, are required to certify compliance with the policy on an annual basis in the Director &amp; Officer Questionnaire.</w:t>
      </w:r>
    </w:p>
    <w:p>
      <w:pPr>
        <w:spacing w:after="0" w:line="200" w:lineRule="exact"/>
        <w:rPr>
          <w:sz w:val="20"/>
          <w:szCs w:val="20"/>
          <w:color w:val="auto"/>
        </w:rPr>
      </w:pPr>
    </w:p>
    <w:p>
      <w:pPr>
        <w:ind w:left="780" w:hanging="747"/>
        <w:spacing w:after="0"/>
        <w:tabs>
          <w:tab w:leader="none" w:pos="780" w:val="left"/>
        </w:tabs>
        <w:numPr>
          <w:ilvl w:val="0"/>
          <w:numId w:val="33"/>
        </w:numPr>
        <w:rPr>
          <w:rFonts w:ascii="Times New Roman" w:cs="Times New Roman" w:eastAsia="Times New Roman" w:hAnsi="Times New Roman"/>
          <w:sz w:val="20"/>
          <w:szCs w:val="20"/>
          <w:b w:val="1"/>
          <w:bCs w:val="1"/>
          <w:color w:val="auto"/>
        </w:rPr>
      </w:pPr>
      <w:r>
        <w:rPr>
          <w:rFonts w:ascii="Verdana" w:cs="Verdana" w:eastAsia="Verdana" w:hAnsi="Verdana"/>
          <w:sz w:val="20"/>
          <w:szCs w:val="20"/>
          <w:b w:val="1"/>
          <w:bCs w:val="1"/>
          <w:color w:val="auto"/>
        </w:rPr>
        <w:t>Insider Trading</w:t>
      </w:r>
    </w:p>
    <w:p>
      <w:pPr>
        <w:spacing w:after="0" w:line="228" w:lineRule="exact"/>
        <w:rPr>
          <w:sz w:val="20"/>
          <w:szCs w:val="20"/>
          <w:color w:val="auto"/>
        </w:rPr>
      </w:pPr>
    </w:p>
    <w:p>
      <w:pPr>
        <w:jc w:val="both"/>
        <w:ind w:left="40"/>
        <w:spacing w:after="0" w:line="243" w:lineRule="auto"/>
        <w:rPr>
          <w:sz w:val="20"/>
          <w:szCs w:val="20"/>
          <w:color w:val="auto"/>
        </w:rPr>
      </w:pPr>
      <w:r>
        <w:rPr>
          <w:rFonts w:ascii="Verdana" w:cs="Verdana" w:eastAsia="Verdana" w:hAnsi="Verdana"/>
          <w:sz w:val="20"/>
          <w:szCs w:val="20"/>
          <w:b w:val="1"/>
          <w:bCs w:val="1"/>
          <w:color w:val="auto"/>
        </w:rPr>
        <w:t>It is unlawful for anyone to trade in Company securities while in possession of material nonpublic information. Accordingly, whenever you receive information about the Company which constitutes material nonpublic information, you may not trade in any Hub Group securities while in possession of such information. Moreover, you must refrain from disclosing the information to others who do not have a legitimate business reason to know.</w:t>
      </w:r>
    </w:p>
    <w:p>
      <w:pPr>
        <w:spacing w:after="0" w:line="200" w:lineRule="exact"/>
        <w:rPr>
          <w:sz w:val="20"/>
          <w:szCs w:val="20"/>
          <w:color w:val="auto"/>
        </w:rPr>
      </w:pPr>
    </w:p>
    <w:p>
      <w:pPr>
        <w:ind w:left="40"/>
        <w:spacing w:after="0"/>
        <w:rPr>
          <w:sz w:val="20"/>
          <w:szCs w:val="20"/>
          <w:color w:val="auto"/>
        </w:rPr>
      </w:pPr>
      <w:r>
        <w:rPr>
          <w:rFonts w:ascii="Verdana" w:cs="Verdana" w:eastAsia="Verdana" w:hAnsi="Verdana"/>
          <w:sz w:val="20"/>
          <w:szCs w:val="20"/>
          <w:b w:val="1"/>
          <w:bCs w:val="1"/>
          <w:color w:val="auto"/>
        </w:rPr>
        <w:t>Definition of Material Nonpublic Information</w:t>
      </w:r>
    </w:p>
    <w:p>
      <w:pPr>
        <w:spacing w:after="0" w:line="216" w:lineRule="exact"/>
        <w:rPr>
          <w:sz w:val="20"/>
          <w:szCs w:val="20"/>
          <w:color w:val="auto"/>
        </w:rPr>
      </w:pPr>
    </w:p>
    <w:p>
      <w:pPr>
        <w:ind w:left="1540" w:hanging="758"/>
        <w:spacing w:after="0"/>
        <w:tabs>
          <w:tab w:leader="none" w:pos="1540" w:val="left"/>
        </w:tabs>
        <w:numPr>
          <w:ilvl w:val="0"/>
          <w:numId w:val="34"/>
        </w:numPr>
        <w:rPr>
          <w:rFonts w:ascii="Times New Roman" w:cs="Times New Roman" w:eastAsia="Times New Roman" w:hAnsi="Times New Roman"/>
          <w:sz w:val="20"/>
          <w:szCs w:val="20"/>
          <w:color w:val="auto"/>
        </w:rPr>
      </w:pPr>
      <w:r>
        <w:rPr>
          <w:rFonts w:ascii="Verdana" w:cs="Verdana" w:eastAsia="Verdana" w:hAnsi="Verdana"/>
          <w:sz w:val="20"/>
          <w:szCs w:val="20"/>
          <w:u w:val="single" w:color="auto"/>
          <w:color w:val="auto"/>
        </w:rPr>
        <w:t>Material Information</w:t>
      </w:r>
    </w:p>
    <w:p>
      <w:pPr>
        <w:spacing w:after="0" w:line="228" w:lineRule="exact"/>
        <w:rPr>
          <w:rFonts w:ascii="Times New Roman" w:cs="Times New Roman" w:eastAsia="Times New Roman" w:hAnsi="Times New Roman"/>
          <w:sz w:val="20"/>
          <w:szCs w:val="20"/>
          <w:color w:val="auto"/>
        </w:rPr>
      </w:pPr>
    </w:p>
    <w:p>
      <w:pPr>
        <w:jc w:val="both"/>
        <w:ind w:left="1520"/>
        <w:spacing w:after="0" w:line="242" w:lineRule="auto"/>
        <w:rPr>
          <w:rFonts w:ascii="Times New Roman" w:cs="Times New Roman" w:eastAsia="Times New Roman" w:hAnsi="Times New Roman"/>
          <w:sz w:val="20"/>
          <w:szCs w:val="20"/>
          <w:color w:val="auto"/>
        </w:rPr>
      </w:pPr>
      <w:r>
        <w:rPr>
          <w:rFonts w:ascii="Verdana" w:cs="Verdana" w:eastAsia="Verdana" w:hAnsi="Verdana"/>
          <w:sz w:val="20"/>
          <w:szCs w:val="20"/>
          <w:color w:val="auto"/>
        </w:rPr>
        <w:t>Information about the Company is material if it would be expected to affect the investment or voting decisions of the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price of Company securities. While it is not possible to identify all information that would be deemed material, the following types of information ordinarily would be considered material:</w:t>
      </w:r>
    </w:p>
    <w:p>
      <w:pPr>
        <w:spacing w:after="0" w:line="201" w:lineRule="exact"/>
        <w:rPr>
          <w:rFonts w:ascii="Times New Roman" w:cs="Times New Roman" w:eastAsia="Times New Roman" w:hAnsi="Times New Roman"/>
          <w:sz w:val="20"/>
          <w:szCs w:val="20"/>
          <w:color w:val="auto"/>
        </w:rPr>
      </w:pPr>
    </w:p>
    <w:p>
      <w:pPr>
        <w:ind w:left="2280" w:hanging="750"/>
        <w:spacing w:after="0" w:line="252" w:lineRule="auto"/>
        <w:tabs>
          <w:tab w:leader="none" w:pos="2280" w:val="left"/>
        </w:tabs>
        <w:numPr>
          <w:ilvl w:val="1"/>
          <w:numId w:val="34"/>
        </w:numPr>
        <w:rPr>
          <w:rFonts w:ascii="Times New Roman" w:cs="Times New Roman" w:eastAsia="Times New Roman" w:hAnsi="Times New Roman"/>
          <w:sz w:val="20"/>
          <w:szCs w:val="20"/>
          <w:color w:val="auto"/>
        </w:rPr>
      </w:pPr>
      <w:r>
        <w:rPr>
          <w:rFonts w:ascii="Verdana" w:cs="Verdana" w:eastAsia="Verdana" w:hAnsi="Verdana"/>
          <w:sz w:val="20"/>
          <w:szCs w:val="20"/>
          <w:color w:val="auto"/>
        </w:rPr>
        <w:t>Financial performance, especially quarterly and year-end earnings, and significant changes in financial performance or liquidity.</w:t>
      </w:r>
    </w:p>
    <w:p>
      <w:pPr>
        <w:spacing w:after="0" w:line="190" w:lineRule="exact"/>
        <w:rPr>
          <w:rFonts w:ascii="Times New Roman" w:cs="Times New Roman" w:eastAsia="Times New Roman" w:hAnsi="Times New Roman"/>
          <w:sz w:val="20"/>
          <w:szCs w:val="20"/>
          <w:color w:val="auto"/>
        </w:rPr>
      </w:pPr>
    </w:p>
    <w:p>
      <w:pPr>
        <w:ind w:left="2280" w:hanging="750"/>
        <w:spacing w:after="0"/>
        <w:tabs>
          <w:tab w:leader="none" w:pos="2280" w:val="left"/>
        </w:tabs>
        <w:numPr>
          <w:ilvl w:val="1"/>
          <w:numId w:val="34"/>
        </w:numPr>
        <w:rPr>
          <w:rFonts w:ascii="Times New Roman" w:cs="Times New Roman" w:eastAsia="Times New Roman" w:hAnsi="Times New Roman"/>
          <w:sz w:val="20"/>
          <w:szCs w:val="20"/>
          <w:color w:val="auto"/>
        </w:rPr>
      </w:pPr>
      <w:r>
        <w:rPr>
          <w:rFonts w:ascii="Verdana" w:cs="Verdana" w:eastAsia="Verdana" w:hAnsi="Verdana"/>
          <w:sz w:val="20"/>
          <w:szCs w:val="20"/>
          <w:color w:val="auto"/>
        </w:rPr>
        <w:t>Company projections and strategic plans.</w:t>
      </w:r>
    </w:p>
    <w:p>
      <w:pPr>
        <w:spacing w:after="0" w:line="228" w:lineRule="exact"/>
        <w:rPr>
          <w:rFonts w:ascii="Times New Roman" w:cs="Times New Roman" w:eastAsia="Times New Roman" w:hAnsi="Times New Roman"/>
          <w:sz w:val="20"/>
          <w:szCs w:val="20"/>
          <w:color w:val="auto"/>
        </w:rPr>
      </w:pPr>
    </w:p>
    <w:p>
      <w:pPr>
        <w:ind w:left="2280" w:hanging="750"/>
        <w:spacing w:after="0"/>
        <w:tabs>
          <w:tab w:leader="none" w:pos="2280" w:val="left"/>
        </w:tabs>
        <w:numPr>
          <w:ilvl w:val="1"/>
          <w:numId w:val="34"/>
        </w:numPr>
        <w:rPr>
          <w:rFonts w:ascii="Times New Roman" w:cs="Times New Roman" w:eastAsia="Times New Roman" w:hAnsi="Times New Roman"/>
          <w:sz w:val="20"/>
          <w:szCs w:val="20"/>
          <w:color w:val="auto"/>
        </w:rPr>
      </w:pPr>
      <w:r>
        <w:rPr>
          <w:rFonts w:ascii="Verdana" w:cs="Verdana" w:eastAsia="Verdana" w:hAnsi="Verdana"/>
          <w:sz w:val="20"/>
          <w:szCs w:val="20"/>
          <w:color w:val="auto"/>
        </w:rPr>
        <w:t>Potential mergers, acquisitions or the sale of Company assets or subsidiaries.</w:t>
      </w:r>
    </w:p>
    <w:p>
      <w:pPr>
        <w:spacing w:after="0" w:line="228" w:lineRule="exact"/>
        <w:rPr>
          <w:rFonts w:ascii="Times New Roman" w:cs="Times New Roman" w:eastAsia="Times New Roman" w:hAnsi="Times New Roman"/>
          <w:sz w:val="20"/>
          <w:szCs w:val="20"/>
          <w:color w:val="auto"/>
        </w:rPr>
      </w:pPr>
    </w:p>
    <w:p>
      <w:pPr>
        <w:ind w:left="2280" w:right="580" w:hanging="750"/>
        <w:spacing w:after="0" w:line="252" w:lineRule="auto"/>
        <w:tabs>
          <w:tab w:leader="none" w:pos="2280" w:val="left"/>
        </w:tabs>
        <w:numPr>
          <w:ilvl w:val="1"/>
          <w:numId w:val="34"/>
        </w:numPr>
        <w:rPr>
          <w:rFonts w:ascii="Times New Roman" w:cs="Times New Roman" w:eastAsia="Times New Roman" w:hAnsi="Times New Roman"/>
          <w:sz w:val="20"/>
          <w:szCs w:val="20"/>
          <w:color w:val="auto"/>
        </w:rPr>
      </w:pPr>
      <w:r>
        <w:rPr>
          <w:rFonts w:ascii="Verdana" w:cs="Verdana" w:eastAsia="Verdana" w:hAnsi="Verdana"/>
          <w:sz w:val="20"/>
          <w:szCs w:val="20"/>
          <w:color w:val="auto"/>
        </w:rPr>
        <w:t>New major contracts, orders, suppliers, customers, or finance sources, or the loss thereof.</w:t>
      </w:r>
    </w:p>
    <w:p>
      <w:pPr>
        <w:spacing w:after="0" w:line="190" w:lineRule="exact"/>
        <w:rPr>
          <w:rFonts w:ascii="Times New Roman" w:cs="Times New Roman" w:eastAsia="Times New Roman" w:hAnsi="Times New Roman"/>
          <w:sz w:val="20"/>
          <w:szCs w:val="20"/>
          <w:color w:val="auto"/>
        </w:rPr>
      </w:pPr>
    </w:p>
    <w:p>
      <w:pPr>
        <w:ind w:left="2280" w:hanging="750"/>
        <w:spacing w:after="0"/>
        <w:tabs>
          <w:tab w:leader="none" w:pos="2280" w:val="left"/>
        </w:tabs>
        <w:numPr>
          <w:ilvl w:val="1"/>
          <w:numId w:val="34"/>
        </w:numPr>
        <w:rPr>
          <w:rFonts w:ascii="Times New Roman" w:cs="Times New Roman" w:eastAsia="Times New Roman" w:hAnsi="Times New Roman"/>
          <w:sz w:val="20"/>
          <w:szCs w:val="20"/>
          <w:color w:val="auto"/>
        </w:rPr>
      </w:pPr>
      <w:r>
        <w:rPr>
          <w:rFonts w:ascii="Verdana" w:cs="Verdana" w:eastAsia="Verdana" w:hAnsi="Verdana"/>
          <w:sz w:val="20"/>
          <w:szCs w:val="20"/>
          <w:color w:val="auto"/>
        </w:rPr>
        <w:t>Significant changes or developments in service offerings.</w:t>
      </w:r>
    </w:p>
    <w:p>
      <w:pPr>
        <w:spacing w:after="0" w:line="228" w:lineRule="exact"/>
        <w:rPr>
          <w:rFonts w:ascii="Times New Roman" w:cs="Times New Roman" w:eastAsia="Times New Roman" w:hAnsi="Times New Roman"/>
          <w:sz w:val="20"/>
          <w:szCs w:val="20"/>
          <w:color w:val="auto"/>
        </w:rPr>
      </w:pPr>
    </w:p>
    <w:p>
      <w:pPr>
        <w:ind w:left="2280" w:right="900" w:hanging="750"/>
        <w:spacing w:after="0" w:line="252" w:lineRule="auto"/>
        <w:tabs>
          <w:tab w:leader="none" w:pos="2280" w:val="left"/>
        </w:tabs>
        <w:numPr>
          <w:ilvl w:val="1"/>
          <w:numId w:val="34"/>
        </w:numPr>
        <w:rPr>
          <w:rFonts w:ascii="Times New Roman" w:cs="Times New Roman" w:eastAsia="Times New Roman" w:hAnsi="Times New Roman"/>
          <w:sz w:val="20"/>
          <w:szCs w:val="20"/>
          <w:color w:val="auto"/>
        </w:rPr>
      </w:pPr>
      <w:r>
        <w:rPr>
          <w:rFonts w:ascii="Verdana" w:cs="Verdana" w:eastAsia="Verdana" w:hAnsi="Verdana"/>
          <w:sz w:val="20"/>
          <w:szCs w:val="20"/>
          <w:color w:val="auto"/>
        </w:rPr>
        <w:t>Stock splits, public or private securities/debt offerings, or changes in Company dividend policies or amounts.</w:t>
      </w:r>
    </w:p>
    <w:p>
      <w:pPr>
        <w:spacing w:after="0" w:line="190" w:lineRule="exact"/>
        <w:rPr>
          <w:rFonts w:ascii="Times New Roman" w:cs="Times New Roman" w:eastAsia="Times New Roman" w:hAnsi="Times New Roman"/>
          <w:sz w:val="20"/>
          <w:szCs w:val="20"/>
          <w:color w:val="auto"/>
        </w:rPr>
      </w:pPr>
    </w:p>
    <w:p>
      <w:pPr>
        <w:ind w:left="2280" w:hanging="750"/>
        <w:spacing w:after="0"/>
        <w:tabs>
          <w:tab w:leader="none" w:pos="2280" w:val="left"/>
        </w:tabs>
        <w:numPr>
          <w:ilvl w:val="1"/>
          <w:numId w:val="34"/>
        </w:numPr>
        <w:rPr>
          <w:rFonts w:ascii="Times New Roman" w:cs="Times New Roman" w:eastAsia="Times New Roman" w:hAnsi="Times New Roman"/>
          <w:sz w:val="20"/>
          <w:szCs w:val="20"/>
          <w:color w:val="auto"/>
        </w:rPr>
      </w:pPr>
      <w:r>
        <w:rPr>
          <w:rFonts w:ascii="Verdana" w:cs="Verdana" w:eastAsia="Verdana" w:hAnsi="Verdana"/>
          <w:sz w:val="20"/>
          <w:szCs w:val="20"/>
          <w:color w:val="auto"/>
        </w:rPr>
        <w:t>Significant changes in senior management.</w:t>
      </w:r>
    </w:p>
    <w:p>
      <w:pPr>
        <w:spacing w:after="0" w:line="282" w:lineRule="exact"/>
        <w:rPr>
          <w:sz w:val="20"/>
          <w:szCs w:val="20"/>
          <w:color w:val="auto"/>
        </w:rPr>
      </w:pPr>
    </w:p>
    <w:p>
      <w:pPr>
        <w:spacing w:after="0"/>
        <w:rPr>
          <w:sz w:val="20"/>
          <w:szCs w:val="20"/>
          <w:color w:val="auto"/>
        </w:rPr>
      </w:pPr>
      <w:r>
        <w:rPr>
          <w:rFonts w:ascii="Verdana" w:cs="Verdana" w:eastAsia="Verdana" w:hAnsi="Verdana"/>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2" w:name="page83"/>
    <w:bookmarkEnd w:id="82"/>
    <w:p>
      <w:pPr>
        <w:spacing w:after="0" w:line="94" w:lineRule="exact"/>
        <w:rPr>
          <w:sz w:val="20"/>
          <w:szCs w:val="20"/>
          <w:color w:val="auto"/>
        </w:rPr>
      </w:pPr>
    </w:p>
    <w:p>
      <w:pPr>
        <w:ind w:left="2280" w:hanging="750"/>
        <w:spacing w:after="0"/>
        <w:tabs>
          <w:tab w:leader="none" w:pos="2280" w:val="left"/>
        </w:tabs>
        <w:numPr>
          <w:ilvl w:val="0"/>
          <w:numId w:val="35"/>
        </w:numPr>
        <w:rPr>
          <w:rFonts w:ascii="Times New Roman" w:cs="Times New Roman" w:eastAsia="Times New Roman" w:hAnsi="Times New Roman"/>
          <w:sz w:val="20"/>
          <w:szCs w:val="20"/>
          <w:color w:val="auto"/>
        </w:rPr>
      </w:pPr>
      <w:r>
        <w:rPr>
          <w:rFonts w:ascii="Verdana" w:cs="Verdana" w:eastAsia="Verdana" w:hAnsi="Verdana"/>
          <w:sz w:val="20"/>
          <w:szCs w:val="20"/>
          <w:color w:val="auto"/>
        </w:rPr>
        <w:t>Significant labor disputes or negotiations.</w:t>
      </w:r>
    </w:p>
    <w:p>
      <w:pPr>
        <w:spacing w:after="0" w:line="228" w:lineRule="exact"/>
        <w:rPr>
          <w:rFonts w:ascii="Times New Roman" w:cs="Times New Roman" w:eastAsia="Times New Roman" w:hAnsi="Times New Roman"/>
          <w:sz w:val="20"/>
          <w:szCs w:val="20"/>
          <w:color w:val="auto"/>
        </w:rPr>
      </w:pPr>
    </w:p>
    <w:p>
      <w:pPr>
        <w:ind w:left="2280" w:hanging="750"/>
        <w:spacing w:after="0"/>
        <w:tabs>
          <w:tab w:leader="none" w:pos="2280" w:val="left"/>
        </w:tabs>
        <w:numPr>
          <w:ilvl w:val="0"/>
          <w:numId w:val="35"/>
        </w:numPr>
        <w:rPr>
          <w:rFonts w:ascii="Times New Roman" w:cs="Times New Roman" w:eastAsia="Times New Roman" w:hAnsi="Times New Roman"/>
          <w:sz w:val="19"/>
          <w:szCs w:val="19"/>
          <w:color w:val="auto"/>
        </w:rPr>
      </w:pPr>
      <w:r>
        <w:rPr>
          <w:rFonts w:ascii="Verdana" w:cs="Verdana" w:eastAsia="Verdana" w:hAnsi="Verdana"/>
          <w:sz w:val="19"/>
          <w:szCs w:val="19"/>
          <w:color w:val="auto"/>
        </w:rPr>
        <w:t>Actual or threatened major litigation, or the resolution of such litigation.</w:t>
      </w:r>
    </w:p>
    <w:p>
      <w:pPr>
        <w:spacing w:after="0" w:line="294" w:lineRule="exact"/>
        <w:rPr>
          <w:sz w:val="20"/>
          <w:szCs w:val="20"/>
          <w:color w:val="auto"/>
        </w:rPr>
      </w:pPr>
    </w:p>
    <w:p>
      <w:pPr>
        <w:spacing w:after="0"/>
        <w:rPr>
          <w:sz w:val="20"/>
          <w:szCs w:val="20"/>
          <w:color w:val="auto"/>
        </w:rPr>
      </w:pPr>
      <w:r>
        <w:rPr>
          <w:rFonts w:ascii="Verdana" w:cs="Verdana" w:eastAsia="Verdana" w:hAnsi="Verdana"/>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83" w:name="page84"/>
    <w:bookmarkEnd w:id="83"/>
    <w:p>
      <w:pPr>
        <w:spacing w:after="0" w:line="229" w:lineRule="exact"/>
        <w:rPr>
          <w:sz w:val="20"/>
          <w:szCs w:val="20"/>
          <w:color w:val="auto"/>
        </w:rPr>
      </w:pPr>
    </w:p>
    <w:p>
      <w:pPr>
        <w:ind w:left="1540" w:hanging="758"/>
        <w:spacing w:after="0"/>
        <w:tabs>
          <w:tab w:leader="none" w:pos="1540" w:val="left"/>
        </w:tabs>
        <w:numPr>
          <w:ilvl w:val="0"/>
          <w:numId w:val="36"/>
        </w:numPr>
        <w:rPr>
          <w:rFonts w:ascii="Times New Roman" w:cs="Times New Roman" w:eastAsia="Times New Roman" w:hAnsi="Times New Roman"/>
          <w:sz w:val="20"/>
          <w:szCs w:val="20"/>
          <w:color w:val="auto"/>
        </w:rPr>
      </w:pPr>
      <w:r>
        <w:rPr>
          <w:rFonts w:ascii="Verdana" w:cs="Verdana" w:eastAsia="Verdana" w:hAnsi="Verdana"/>
          <w:sz w:val="20"/>
          <w:szCs w:val="20"/>
          <w:u w:val="single" w:color="auto"/>
          <w:color w:val="auto"/>
        </w:rPr>
        <w:t>Nonpublic Information</w:t>
      </w:r>
    </w:p>
    <w:p>
      <w:pPr>
        <w:spacing w:after="0" w:line="228" w:lineRule="exact"/>
        <w:rPr>
          <w:rFonts w:ascii="Times New Roman" w:cs="Times New Roman" w:eastAsia="Times New Roman" w:hAnsi="Times New Roman"/>
          <w:sz w:val="20"/>
          <w:szCs w:val="20"/>
          <w:color w:val="auto"/>
        </w:rPr>
      </w:pPr>
    </w:p>
    <w:p>
      <w:pPr>
        <w:jc w:val="both"/>
        <w:ind w:left="1520"/>
        <w:spacing w:after="0" w:line="241" w:lineRule="auto"/>
        <w:rPr>
          <w:rFonts w:ascii="Times New Roman" w:cs="Times New Roman" w:eastAsia="Times New Roman" w:hAnsi="Times New Roman"/>
          <w:sz w:val="20"/>
          <w:szCs w:val="20"/>
          <w:color w:val="auto"/>
        </w:rPr>
      </w:pPr>
      <w:r>
        <w:rPr>
          <w:rFonts w:ascii="Verdana" w:cs="Verdana" w:eastAsia="Verdana" w:hAnsi="Verdana"/>
          <w:sz w:val="20"/>
          <w:szCs w:val="20"/>
          <w:color w:val="auto"/>
        </w:rPr>
        <w:t>Material information is nonpublic if it has not been widely disseminated to the public through major news wire services, national news services or financial news services. For the purposes of this policy, information will be considered public, i.e., no longer nonpublic, after one full Trading Session has elapsed following the Company’s widespread public release of the information. As used herein, the term “Trading Session” shall mean, on a day on which the NASDAQ Stock Market is open for trading, the period from the time trading begins until it ends on such day. Therefore, if the announcement is made on Monday after trading begins, a person covered by this policy may not trade in Company securities until Wednesday of that week. If an announcement is made before the commencement of trading on a Monday, a person covered by this policy may trade in Company securities starting on Tuesday of that week, as one full Trading Session would have elapsed by that time.</w:t>
      </w:r>
    </w:p>
    <w:p>
      <w:pPr>
        <w:spacing w:after="0" w:line="204" w:lineRule="exact"/>
        <w:rPr>
          <w:rFonts w:ascii="Times New Roman" w:cs="Times New Roman" w:eastAsia="Times New Roman" w:hAnsi="Times New Roman"/>
          <w:sz w:val="20"/>
          <w:szCs w:val="20"/>
          <w:color w:val="auto"/>
        </w:rPr>
      </w:pPr>
    </w:p>
    <w:p>
      <w:pPr>
        <w:ind w:left="1540" w:hanging="758"/>
        <w:spacing w:after="0"/>
        <w:tabs>
          <w:tab w:leader="none" w:pos="1540" w:val="left"/>
        </w:tabs>
        <w:numPr>
          <w:ilvl w:val="0"/>
          <w:numId w:val="36"/>
        </w:numPr>
        <w:rPr>
          <w:rFonts w:ascii="Times New Roman" w:cs="Times New Roman" w:eastAsia="Times New Roman" w:hAnsi="Times New Roman"/>
          <w:sz w:val="20"/>
          <w:szCs w:val="20"/>
          <w:color w:val="auto"/>
        </w:rPr>
      </w:pPr>
      <w:r>
        <w:rPr>
          <w:rFonts w:ascii="Verdana" w:cs="Verdana" w:eastAsia="Verdana" w:hAnsi="Verdana"/>
          <w:sz w:val="20"/>
          <w:szCs w:val="20"/>
          <w:u w:val="single" w:color="auto"/>
          <w:color w:val="auto"/>
        </w:rPr>
        <w:t>Consult the Compliance Officer for Guidance</w:t>
      </w:r>
    </w:p>
    <w:p>
      <w:pPr>
        <w:spacing w:after="0" w:line="228" w:lineRule="exact"/>
        <w:rPr>
          <w:rFonts w:ascii="Times New Roman" w:cs="Times New Roman" w:eastAsia="Times New Roman" w:hAnsi="Times New Roman"/>
          <w:sz w:val="20"/>
          <w:szCs w:val="20"/>
          <w:color w:val="auto"/>
        </w:rPr>
      </w:pPr>
    </w:p>
    <w:p>
      <w:pPr>
        <w:ind w:left="1520"/>
        <w:spacing w:after="0" w:line="253" w:lineRule="auto"/>
        <w:rPr>
          <w:rFonts w:ascii="Times New Roman" w:cs="Times New Roman" w:eastAsia="Times New Roman" w:hAnsi="Times New Roman"/>
          <w:sz w:val="20"/>
          <w:szCs w:val="20"/>
          <w:color w:val="auto"/>
        </w:rPr>
      </w:pPr>
      <w:r>
        <w:rPr>
          <w:rFonts w:ascii="Verdana" w:cs="Verdana" w:eastAsia="Verdana" w:hAnsi="Verdana"/>
          <w:sz w:val="20"/>
          <w:szCs w:val="20"/>
          <w:color w:val="auto"/>
        </w:rPr>
        <w:t>Anyone who is unsure whether the information that they possess is material or nonpublic must consult the Compliance Officer for guidance before trading in any Company securities.</w:t>
      </w:r>
    </w:p>
    <w:p>
      <w:pPr>
        <w:spacing w:after="0" w:line="190" w:lineRule="exact"/>
        <w:rPr>
          <w:sz w:val="20"/>
          <w:szCs w:val="20"/>
          <w:color w:val="auto"/>
        </w:rPr>
      </w:pPr>
    </w:p>
    <w:p>
      <w:pPr>
        <w:jc w:val="both"/>
        <w:ind w:left="1520"/>
        <w:spacing w:after="0" w:line="246" w:lineRule="auto"/>
        <w:rPr>
          <w:sz w:val="20"/>
          <w:szCs w:val="20"/>
          <w:color w:val="auto"/>
        </w:rPr>
      </w:pPr>
      <w:r>
        <w:rPr>
          <w:rFonts w:ascii="Verdana" w:cs="Verdana" w:eastAsia="Verdana" w:hAnsi="Verdana"/>
          <w:sz w:val="20"/>
          <w:szCs w:val="20"/>
          <w:color w:val="auto"/>
        </w:rPr>
        <w:t>When any securities transaction becomes the subject of legal scrutiny, it may be viewed after the fact with the benefit of “20/20 hindsight.” As a result, before engaging in any securities transaction, carefully consider how regulators and others might view the transaction.</w:t>
      </w:r>
    </w:p>
    <w:p>
      <w:pPr>
        <w:spacing w:after="0" w:line="19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Verdana" w:cs="Verdana" w:eastAsia="Verdana" w:hAnsi="Verdana"/>
          <w:sz w:val="20"/>
          <w:szCs w:val="20"/>
          <w:b w:val="1"/>
          <w:bCs w:val="1"/>
          <w:color w:val="auto"/>
        </w:rPr>
        <w:t>Section 16 Individuals</w:t>
      </w:r>
    </w:p>
    <w:p>
      <w:pPr>
        <w:spacing w:after="0" w:line="232" w:lineRule="exact"/>
        <w:rPr>
          <w:sz w:val="20"/>
          <w:szCs w:val="20"/>
          <w:color w:val="auto"/>
        </w:rPr>
      </w:pPr>
    </w:p>
    <w:p>
      <w:pPr>
        <w:jc w:val="both"/>
        <w:ind w:left="1520" w:hanging="738"/>
        <w:spacing w:after="0" w:line="239" w:lineRule="auto"/>
        <w:tabs>
          <w:tab w:leader="none" w:pos="1520" w:val="left"/>
        </w:tabs>
        <w:numPr>
          <w:ilvl w:val="0"/>
          <w:numId w:val="37"/>
        </w:numPr>
        <w:rPr>
          <w:rFonts w:ascii="Times New Roman" w:cs="Times New Roman" w:eastAsia="Times New Roman" w:hAnsi="Times New Roman"/>
          <w:sz w:val="20"/>
          <w:szCs w:val="20"/>
          <w:color w:val="auto"/>
        </w:rPr>
      </w:pPr>
      <w:r>
        <w:rPr>
          <w:rFonts w:ascii="Verdana" w:cs="Verdana" w:eastAsia="Verdana" w:hAnsi="Verdana"/>
          <w:sz w:val="20"/>
          <w:szCs w:val="20"/>
          <w:u w:val="single" w:color="auto"/>
          <w:color w:val="auto"/>
        </w:rPr>
        <w:t>Section 16 Individuals</w:t>
      </w:r>
      <w:r>
        <w:rPr>
          <w:rFonts w:ascii="Verdana" w:cs="Verdana" w:eastAsia="Verdana" w:hAnsi="Verdana"/>
          <w:sz w:val="20"/>
          <w:szCs w:val="20"/>
          <w:color w:val="auto"/>
        </w:rPr>
        <w:t xml:space="preserve">. The Company has designated those persons listed on </w:t>
      </w:r>
      <w:r>
        <w:rPr>
          <w:rFonts w:ascii="Verdana" w:cs="Verdana" w:eastAsia="Verdana" w:hAnsi="Verdana"/>
          <w:sz w:val="20"/>
          <w:szCs w:val="20"/>
          <w:u w:val="single" w:color="auto"/>
          <w:color w:val="auto"/>
        </w:rPr>
        <w:t>Attachment A</w:t>
      </w:r>
      <w:r>
        <w:rPr>
          <w:rFonts w:ascii="Verdana" w:cs="Verdana" w:eastAsia="Verdana" w:hAnsi="Verdana"/>
          <w:sz w:val="20"/>
          <w:szCs w:val="20"/>
          <w:color w:val="auto"/>
        </w:rPr>
        <w:t xml:space="preserve"> as the individuals who are subject to the reporting provisions and trading restrictions of Section 16 of the Securities Exchange Act of 1934, as amended (the Exchange Act), and the underlying rules and regulations promulgated by the Securities and Exchange Commission (SEC) (the “Section 16 Individuals”). </w:t>
      </w:r>
      <w:r>
        <w:rPr>
          <w:rFonts w:ascii="Verdana" w:cs="Verdana" w:eastAsia="Verdana" w:hAnsi="Verdana"/>
          <w:sz w:val="20"/>
          <w:szCs w:val="20"/>
          <w:b w:val="1"/>
          <w:bCs w:val="1"/>
          <w:color w:val="auto"/>
        </w:rPr>
        <w:t>Section</w:t>
      </w:r>
    </w:p>
    <w:p>
      <w:pPr>
        <w:spacing w:after="0" w:line="3" w:lineRule="exact"/>
        <w:rPr>
          <w:rFonts w:ascii="Times New Roman" w:cs="Times New Roman" w:eastAsia="Times New Roman" w:hAnsi="Times New Roman"/>
          <w:sz w:val="20"/>
          <w:szCs w:val="20"/>
          <w:color w:val="auto"/>
        </w:rPr>
      </w:pPr>
    </w:p>
    <w:p>
      <w:pPr>
        <w:jc w:val="both"/>
        <w:ind w:left="1520"/>
        <w:spacing w:after="0" w:line="244" w:lineRule="auto"/>
        <w:rPr>
          <w:rFonts w:ascii="Times New Roman" w:cs="Times New Roman" w:eastAsia="Times New Roman" w:hAnsi="Times New Roman"/>
          <w:sz w:val="20"/>
          <w:szCs w:val="20"/>
          <w:color w:val="auto"/>
        </w:rPr>
      </w:pPr>
      <w:r>
        <w:rPr>
          <w:rFonts w:ascii="Verdana" w:cs="Verdana" w:eastAsia="Verdana" w:hAnsi="Verdana"/>
          <w:sz w:val="20"/>
          <w:szCs w:val="20"/>
          <w:b w:val="1"/>
          <w:bCs w:val="1"/>
          <w:color w:val="auto"/>
        </w:rPr>
        <w:t xml:space="preserve">16 Individuals must obtain prior approval of all trades in Company securities from the Compliance Committee in accordance with the procedures set forth in Section VII below. </w:t>
      </w:r>
      <w:r>
        <w:rPr>
          <w:rFonts w:ascii="Verdana" w:cs="Verdana" w:eastAsia="Verdana" w:hAnsi="Verdana"/>
          <w:sz w:val="20"/>
          <w:szCs w:val="20"/>
          <w:color w:val="auto"/>
        </w:rPr>
        <w:t>The “Compliance Committee” is comprised of the Chief Executive Officer and the</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General Counsel of the Company.</w:t>
      </w:r>
    </w:p>
    <w:p>
      <w:pPr>
        <w:spacing w:after="0" w:line="240" w:lineRule="exact"/>
        <w:rPr>
          <w:sz w:val="20"/>
          <w:szCs w:val="20"/>
          <w:color w:val="auto"/>
        </w:rPr>
      </w:pPr>
    </w:p>
    <w:p>
      <w:pPr>
        <w:spacing w:after="0"/>
        <w:rPr>
          <w:sz w:val="20"/>
          <w:szCs w:val="20"/>
          <w:color w:val="auto"/>
        </w:rPr>
      </w:pPr>
      <w:r>
        <w:rPr>
          <w:rFonts w:ascii="Verdana" w:cs="Verdana" w:eastAsia="Verdana" w:hAnsi="Verdana"/>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4" w:name="page85"/>
    <w:bookmarkEnd w:id="84"/>
    <w:p>
      <w:pPr>
        <w:spacing w:after="0" w:line="94" w:lineRule="exact"/>
        <w:rPr>
          <w:sz w:val="20"/>
          <w:szCs w:val="20"/>
          <w:color w:val="auto"/>
        </w:rPr>
      </w:pPr>
    </w:p>
    <w:p>
      <w:pPr>
        <w:jc w:val="both"/>
        <w:ind w:left="1520"/>
        <w:spacing w:after="0" w:line="246" w:lineRule="auto"/>
        <w:rPr>
          <w:sz w:val="20"/>
          <w:szCs w:val="20"/>
          <w:color w:val="auto"/>
        </w:rPr>
      </w:pPr>
      <w:r>
        <w:rPr>
          <w:rFonts w:ascii="Verdana" w:cs="Verdana" w:eastAsia="Verdana" w:hAnsi="Verdana"/>
          <w:sz w:val="20"/>
          <w:szCs w:val="20"/>
          <w:color w:val="auto"/>
        </w:rPr>
        <w:t xml:space="preserve">The Company will amend </w:t>
      </w:r>
      <w:r>
        <w:rPr>
          <w:rFonts w:ascii="Verdana" w:cs="Verdana" w:eastAsia="Verdana" w:hAnsi="Verdana"/>
          <w:sz w:val="20"/>
          <w:szCs w:val="20"/>
          <w:u w:val="single" w:color="auto"/>
          <w:color w:val="auto"/>
        </w:rPr>
        <w:t>Attachment A</w:t>
      </w:r>
      <w:r>
        <w:rPr>
          <w:rFonts w:ascii="Verdana" w:cs="Verdana" w:eastAsia="Verdana" w:hAnsi="Verdana"/>
          <w:sz w:val="20"/>
          <w:szCs w:val="20"/>
          <w:color w:val="auto"/>
        </w:rPr>
        <w:t xml:space="preserve"> from time to time as necessary to reflect the addition, resignation or departure of Section 16 Individuals. Such amendment to </w:t>
      </w:r>
      <w:r>
        <w:rPr>
          <w:rFonts w:ascii="Verdana" w:cs="Verdana" w:eastAsia="Verdana" w:hAnsi="Verdana"/>
          <w:sz w:val="20"/>
          <w:szCs w:val="20"/>
          <w:u w:val="single" w:color="auto"/>
          <w:color w:val="auto"/>
        </w:rPr>
        <w:t>Attachment A</w:t>
      </w:r>
      <w:r>
        <w:rPr>
          <w:rFonts w:ascii="Verdana" w:cs="Verdana" w:eastAsia="Verdana" w:hAnsi="Verdana"/>
          <w:sz w:val="20"/>
          <w:szCs w:val="20"/>
          <w:color w:val="auto"/>
        </w:rPr>
        <w:t xml:space="preserve"> does not require approval of the Board of Directors.</w:t>
      </w:r>
    </w:p>
    <w:p>
      <w:pPr>
        <w:spacing w:after="0" w:line="198" w:lineRule="exact"/>
        <w:rPr>
          <w:sz w:val="20"/>
          <w:szCs w:val="20"/>
          <w:color w:val="auto"/>
        </w:rPr>
      </w:pPr>
    </w:p>
    <w:p>
      <w:pPr>
        <w:ind w:left="780" w:hanging="747"/>
        <w:spacing w:after="0"/>
        <w:tabs>
          <w:tab w:leader="none" w:pos="780" w:val="left"/>
        </w:tabs>
        <w:numPr>
          <w:ilvl w:val="0"/>
          <w:numId w:val="38"/>
        </w:numPr>
        <w:rPr>
          <w:rFonts w:ascii="Times New Roman" w:cs="Times New Roman" w:eastAsia="Times New Roman" w:hAnsi="Times New Roman"/>
          <w:sz w:val="20"/>
          <w:szCs w:val="20"/>
          <w:b w:val="1"/>
          <w:bCs w:val="1"/>
          <w:color w:val="auto"/>
        </w:rPr>
      </w:pPr>
      <w:r>
        <w:rPr>
          <w:rFonts w:ascii="Verdana" w:cs="Verdana" w:eastAsia="Verdana" w:hAnsi="Verdana"/>
          <w:sz w:val="20"/>
          <w:szCs w:val="20"/>
          <w:b w:val="1"/>
          <w:bCs w:val="1"/>
          <w:color w:val="auto"/>
        </w:rPr>
        <w:t>Statement of Company Policy and Procedures</w:t>
      </w:r>
    </w:p>
    <w:p>
      <w:pPr>
        <w:spacing w:after="0" w:line="228" w:lineRule="exact"/>
        <w:rPr>
          <w:rFonts w:ascii="Times New Roman" w:cs="Times New Roman" w:eastAsia="Times New Roman" w:hAnsi="Times New Roman"/>
          <w:sz w:val="20"/>
          <w:szCs w:val="20"/>
          <w:b w:val="1"/>
          <w:bCs w:val="1"/>
          <w:color w:val="auto"/>
        </w:rPr>
      </w:pPr>
    </w:p>
    <w:p>
      <w:pPr>
        <w:ind w:left="7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w:t>
      </w:r>
      <w:r>
        <w:rPr>
          <w:rFonts w:ascii="Verdana" w:cs="Verdana" w:eastAsia="Verdana" w:hAnsi="Verdana"/>
          <w:sz w:val="19"/>
          <w:szCs w:val="19"/>
          <w:u w:val="single" w:color="auto"/>
          <w:color w:val="auto"/>
        </w:rPr>
        <w:t>Prohibited Activities</w:t>
      </w:r>
      <w:r>
        <w:rPr>
          <w:rFonts w:ascii="Verdana" w:cs="Verdana" w:eastAsia="Verdana" w:hAnsi="Verdana"/>
          <w:sz w:val="19"/>
          <w:szCs w:val="19"/>
          <w:color w:val="auto"/>
        </w:rPr>
        <w:t>.</w:t>
      </w:r>
    </w:p>
    <w:p>
      <w:pPr>
        <w:spacing w:after="0" w:line="241" w:lineRule="exact"/>
        <w:rPr>
          <w:rFonts w:ascii="Times New Roman" w:cs="Times New Roman" w:eastAsia="Times New Roman" w:hAnsi="Times New Roman"/>
          <w:sz w:val="20"/>
          <w:szCs w:val="20"/>
          <w:b w:val="1"/>
          <w:bCs w:val="1"/>
          <w:color w:val="auto"/>
        </w:rPr>
      </w:pPr>
    </w:p>
    <w:p>
      <w:pPr>
        <w:ind w:left="2280" w:hanging="750"/>
        <w:spacing w:after="0" w:line="252" w:lineRule="auto"/>
        <w:tabs>
          <w:tab w:leader="none" w:pos="2280" w:val="left"/>
        </w:tabs>
        <w:numPr>
          <w:ilvl w:val="2"/>
          <w:numId w:val="38"/>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MNPI. </w:t>
      </w:r>
      <w:r>
        <w:rPr>
          <w:rFonts w:ascii="Verdana" w:cs="Verdana" w:eastAsia="Verdana" w:hAnsi="Verdana"/>
          <w:sz w:val="20"/>
          <w:szCs w:val="20"/>
          <w:color w:val="auto"/>
        </w:rPr>
        <w:t>No Insider may trade in Company securities while possessing material nonpublic</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information concerning the Company.</w:t>
      </w:r>
    </w:p>
    <w:p>
      <w:pPr>
        <w:spacing w:after="0" w:line="190" w:lineRule="exact"/>
        <w:rPr>
          <w:rFonts w:ascii="Times New Roman" w:cs="Times New Roman" w:eastAsia="Times New Roman" w:hAnsi="Times New Roman"/>
          <w:sz w:val="20"/>
          <w:szCs w:val="20"/>
          <w:color w:val="auto"/>
        </w:rPr>
      </w:pPr>
    </w:p>
    <w:p>
      <w:pPr>
        <w:jc w:val="both"/>
        <w:ind w:left="2280" w:hanging="750"/>
        <w:spacing w:after="0" w:line="246" w:lineRule="auto"/>
        <w:tabs>
          <w:tab w:leader="none" w:pos="2280" w:val="left"/>
        </w:tabs>
        <w:numPr>
          <w:ilvl w:val="2"/>
          <w:numId w:val="38"/>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Trading window. </w:t>
      </w:r>
      <w:r>
        <w:rPr>
          <w:rFonts w:ascii="Verdana" w:cs="Verdana" w:eastAsia="Verdana" w:hAnsi="Verdana"/>
          <w:sz w:val="20"/>
          <w:szCs w:val="20"/>
          <w:color w:val="auto"/>
        </w:rPr>
        <w:t>No Insider may trade in Company securities outside the applicable</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trading windows described in Section V.B below, or during any special trading blackout periods designated by the Compliance Officer.</w:t>
      </w:r>
    </w:p>
    <w:p>
      <w:pPr>
        <w:spacing w:after="0" w:line="196" w:lineRule="exact"/>
        <w:rPr>
          <w:rFonts w:ascii="Times New Roman" w:cs="Times New Roman" w:eastAsia="Times New Roman" w:hAnsi="Times New Roman"/>
          <w:sz w:val="20"/>
          <w:szCs w:val="20"/>
          <w:color w:val="auto"/>
        </w:rPr>
      </w:pPr>
    </w:p>
    <w:p>
      <w:pPr>
        <w:jc w:val="both"/>
        <w:ind w:left="2280" w:hanging="750"/>
        <w:spacing w:after="0" w:line="243" w:lineRule="auto"/>
        <w:tabs>
          <w:tab w:leader="none" w:pos="2280" w:val="left"/>
        </w:tabs>
        <w:numPr>
          <w:ilvl w:val="2"/>
          <w:numId w:val="38"/>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Section 16 Officers. </w:t>
      </w:r>
      <w:r>
        <w:rPr>
          <w:rFonts w:ascii="Verdana" w:cs="Verdana" w:eastAsia="Verdana" w:hAnsi="Verdana"/>
          <w:sz w:val="20"/>
          <w:szCs w:val="20"/>
          <w:color w:val="auto"/>
        </w:rPr>
        <w:t>No Section 16 Individual listed on</w:t>
      </w:r>
      <w:r>
        <w:rPr>
          <w:rFonts w:ascii="Verdana" w:cs="Verdana" w:eastAsia="Verdana" w:hAnsi="Verdana"/>
          <w:sz w:val="20"/>
          <w:szCs w:val="20"/>
          <w:i w:val="1"/>
          <w:iCs w:val="1"/>
          <w:color w:val="auto"/>
        </w:rPr>
        <w:t xml:space="preserve"> </w:t>
      </w:r>
      <w:r>
        <w:rPr>
          <w:rFonts w:ascii="Verdana" w:cs="Verdana" w:eastAsia="Verdana" w:hAnsi="Verdana"/>
          <w:sz w:val="20"/>
          <w:szCs w:val="20"/>
          <w:u w:val="single" w:color="auto"/>
          <w:color w:val="auto"/>
        </w:rPr>
        <w:t>Attachment A</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attached hereto</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may trade in Company securities unless the trade(s) has been approved by the Compliance Committee in accordance with the procedures set forth in Section VII below. To the extent possible, Section 16 Individuals should retain all records and documents that support their reasons for making each trade.</w:t>
      </w:r>
    </w:p>
    <w:p>
      <w:pPr>
        <w:spacing w:after="0" w:line="199" w:lineRule="exact"/>
        <w:rPr>
          <w:rFonts w:ascii="Times New Roman" w:cs="Times New Roman" w:eastAsia="Times New Roman" w:hAnsi="Times New Roman"/>
          <w:sz w:val="20"/>
          <w:szCs w:val="20"/>
          <w:color w:val="auto"/>
        </w:rPr>
      </w:pPr>
    </w:p>
    <w:p>
      <w:pPr>
        <w:jc w:val="both"/>
        <w:ind w:left="2280" w:hanging="750"/>
        <w:spacing w:after="0" w:line="246" w:lineRule="auto"/>
        <w:tabs>
          <w:tab w:leader="none" w:pos="2280" w:val="left"/>
        </w:tabs>
        <w:numPr>
          <w:ilvl w:val="2"/>
          <w:numId w:val="38"/>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Compliance Officer. </w:t>
      </w:r>
      <w:r>
        <w:rPr>
          <w:rFonts w:ascii="Verdana" w:cs="Verdana" w:eastAsia="Verdana" w:hAnsi="Verdana"/>
          <w:sz w:val="20"/>
          <w:szCs w:val="20"/>
          <w:color w:val="auto"/>
        </w:rPr>
        <w:t>The Compliance Officer may not trade in Company securities unless</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the trade(s) has been approved by the other member of the Compliance Committee in accordance with the procedures set forth in Section VII below.</w:t>
      </w:r>
    </w:p>
    <w:p>
      <w:pPr>
        <w:spacing w:after="0" w:line="196" w:lineRule="exact"/>
        <w:rPr>
          <w:rFonts w:ascii="Times New Roman" w:cs="Times New Roman" w:eastAsia="Times New Roman" w:hAnsi="Times New Roman"/>
          <w:sz w:val="20"/>
          <w:szCs w:val="20"/>
          <w:color w:val="auto"/>
        </w:rPr>
      </w:pPr>
    </w:p>
    <w:p>
      <w:pPr>
        <w:jc w:val="both"/>
        <w:ind w:left="2280" w:hanging="750"/>
        <w:spacing w:after="0" w:line="255" w:lineRule="auto"/>
        <w:tabs>
          <w:tab w:leader="none" w:pos="2280" w:val="left"/>
        </w:tabs>
        <w:numPr>
          <w:ilvl w:val="2"/>
          <w:numId w:val="38"/>
        </w:numPr>
        <w:rPr>
          <w:rFonts w:ascii="Times New Roman" w:cs="Times New Roman" w:eastAsia="Times New Roman" w:hAnsi="Times New Roman"/>
          <w:sz w:val="19"/>
          <w:szCs w:val="19"/>
          <w:color w:val="auto"/>
        </w:rPr>
      </w:pPr>
      <w:r>
        <w:rPr>
          <w:rFonts w:ascii="Verdana" w:cs="Verdana" w:eastAsia="Verdana" w:hAnsi="Verdana"/>
          <w:sz w:val="19"/>
          <w:szCs w:val="19"/>
          <w:i w:val="1"/>
          <w:iCs w:val="1"/>
          <w:color w:val="auto"/>
        </w:rPr>
        <w:t xml:space="preserve">Tipping. </w:t>
      </w:r>
      <w:r>
        <w:rPr>
          <w:rFonts w:ascii="Verdana" w:cs="Verdana" w:eastAsia="Verdana" w:hAnsi="Verdana"/>
          <w:sz w:val="19"/>
          <w:szCs w:val="19"/>
          <w:color w:val="auto"/>
        </w:rPr>
        <w:t>No Insider may tip or disclose material nonpublic information concerning the</w:t>
      </w:r>
      <w:r>
        <w:rPr>
          <w:rFonts w:ascii="Verdana" w:cs="Verdana" w:eastAsia="Verdana" w:hAnsi="Verdana"/>
          <w:sz w:val="19"/>
          <w:szCs w:val="19"/>
          <w:i w:val="1"/>
          <w:iCs w:val="1"/>
          <w:color w:val="auto"/>
        </w:rPr>
        <w:t xml:space="preserve"> </w:t>
      </w:r>
      <w:r>
        <w:rPr>
          <w:rFonts w:ascii="Verdana" w:cs="Verdana" w:eastAsia="Verdana" w:hAnsi="Verdana"/>
          <w:sz w:val="19"/>
          <w:szCs w:val="19"/>
          <w:color w:val="auto"/>
        </w:rPr>
        <w:t>Company to any outside person (including family members, analysts, individual investors, and members of the investment community or news media), unless required as part of that insider’s regular duties for the Company and authorized by the Compliance Officer. In any instance in which such information is disclosed to outsiders, the Company will take such steps as are necessary to preserve the confidentiality of the information, including requiring the outsider to agree in writing to comply with the terms of this policy and/or sign a confidentiality agreement. All inquiries from outsiders regarding material nonpublic information about the Company must be forwarded to the Chairman, Vice Chairman, President, Chief Financial Officer or Compliance Officer.</w:t>
      </w:r>
    </w:p>
    <w:p>
      <w:pPr>
        <w:spacing w:after="0" w:line="191" w:lineRule="exact"/>
        <w:rPr>
          <w:rFonts w:ascii="Times New Roman" w:cs="Times New Roman" w:eastAsia="Times New Roman" w:hAnsi="Times New Roman"/>
          <w:sz w:val="19"/>
          <w:szCs w:val="19"/>
          <w:color w:val="auto"/>
        </w:rPr>
      </w:pPr>
    </w:p>
    <w:p>
      <w:pPr>
        <w:ind w:left="2280" w:hanging="750"/>
        <w:spacing w:after="0" w:line="252" w:lineRule="auto"/>
        <w:tabs>
          <w:tab w:leader="none" w:pos="2280" w:val="left"/>
        </w:tabs>
        <w:numPr>
          <w:ilvl w:val="2"/>
          <w:numId w:val="38"/>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Trading Advice. </w:t>
      </w:r>
      <w:r>
        <w:rPr>
          <w:rFonts w:ascii="Verdana" w:cs="Verdana" w:eastAsia="Verdana" w:hAnsi="Verdana"/>
          <w:sz w:val="20"/>
          <w:szCs w:val="20"/>
          <w:color w:val="auto"/>
        </w:rPr>
        <w:t>No Insider may give trading advice of any kind about the Company to</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anyone while possessing material</w:t>
      </w:r>
    </w:p>
    <w:p>
      <w:pPr>
        <w:spacing w:after="0" w:line="231" w:lineRule="exact"/>
        <w:rPr>
          <w:sz w:val="20"/>
          <w:szCs w:val="20"/>
          <w:color w:val="auto"/>
        </w:rPr>
      </w:pPr>
    </w:p>
    <w:p>
      <w:pPr>
        <w:spacing w:after="0"/>
        <w:rPr>
          <w:sz w:val="20"/>
          <w:szCs w:val="20"/>
          <w:color w:val="auto"/>
        </w:rPr>
      </w:pPr>
      <w:r>
        <w:rPr>
          <w:rFonts w:ascii="Verdana" w:cs="Verdana" w:eastAsia="Verdana" w:hAnsi="Verdana"/>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5" w:name="page86"/>
    <w:bookmarkEnd w:id="85"/>
    <w:p>
      <w:pPr>
        <w:spacing w:after="0" w:line="94" w:lineRule="exact"/>
        <w:rPr>
          <w:sz w:val="20"/>
          <w:szCs w:val="20"/>
          <w:color w:val="auto"/>
        </w:rPr>
      </w:pPr>
    </w:p>
    <w:p>
      <w:pPr>
        <w:jc w:val="both"/>
        <w:ind w:left="2280"/>
        <w:spacing w:after="0" w:line="243" w:lineRule="auto"/>
        <w:rPr>
          <w:sz w:val="20"/>
          <w:szCs w:val="20"/>
          <w:color w:val="auto"/>
        </w:rPr>
      </w:pPr>
      <w:r>
        <w:rPr>
          <w:rFonts w:ascii="Verdana" w:cs="Verdana" w:eastAsia="Verdana" w:hAnsi="Verdana"/>
          <w:sz w:val="20"/>
          <w:szCs w:val="20"/>
          <w:color w:val="auto"/>
        </w:rPr>
        <w:t>nonpublic information about the Company, except that Insiders should advise others not to trade if doing so might violate the law or this policy. The Company strongly discourages all Insiders from giving trading advice concerning the Company to third parties even when the Insiders do not possess material nonpublic information about the Company.</w:t>
      </w:r>
    </w:p>
    <w:p>
      <w:pPr>
        <w:spacing w:after="0" w:line="200" w:lineRule="exact"/>
        <w:rPr>
          <w:sz w:val="20"/>
          <w:szCs w:val="20"/>
          <w:color w:val="auto"/>
        </w:rPr>
      </w:pPr>
    </w:p>
    <w:p>
      <w:pPr>
        <w:ind w:left="2280" w:hanging="750"/>
        <w:spacing w:after="0" w:line="252" w:lineRule="auto"/>
        <w:tabs>
          <w:tab w:leader="none" w:pos="2280" w:val="left"/>
        </w:tabs>
        <w:numPr>
          <w:ilvl w:val="0"/>
          <w:numId w:val="39"/>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Short Sale. </w:t>
      </w:r>
      <w:r>
        <w:rPr>
          <w:rFonts w:ascii="Verdana" w:cs="Verdana" w:eastAsia="Verdana" w:hAnsi="Verdana"/>
          <w:sz w:val="20"/>
          <w:szCs w:val="20"/>
          <w:color w:val="auto"/>
        </w:rPr>
        <w:t>No Insider may trade in any interest or position relating to the future price</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of Company securities, such as a put, call or short sale.</w:t>
      </w:r>
    </w:p>
    <w:p>
      <w:pPr>
        <w:spacing w:after="0" w:line="190" w:lineRule="exact"/>
        <w:rPr>
          <w:rFonts w:ascii="Times New Roman" w:cs="Times New Roman" w:eastAsia="Times New Roman" w:hAnsi="Times New Roman"/>
          <w:sz w:val="20"/>
          <w:szCs w:val="20"/>
          <w:color w:val="auto"/>
        </w:rPr>
      </w:pPr>
    </w:p>
    <w:p>
      <w:pPr>
        <w:jc w:val="both"/>
        <w:ind w:left="2280" w:hanging="750"/>
        <w:spacing w:after="0" w:line="242" w:lineRule="auto"/>
        <w:tabs>
          <w:tab w:leader="none" w:pos="2280" w:val="left"/>
        </w:tabs>
        <w:numPr>
          <w:ilvl w:val="0"/>
          <w:numId w:val="39"/>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Trading in Securities of Other Companies. </w:t>
      </w:r>
      <w:r>
        <w:rPr>
          <w:rFonts w:ascii="Verdana" w:cs="Verdana" w:eastAsia="Verdana" w:hAnsi="Verdana"/>
          <w:sz w:val="20"/>
          <w:szCs w:val="20"/>
          <w:color w:val="auto"/>
        </w:rPr>
        <w:t>No Insider may (a) trade in the securities of</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any other public company while possessing material nonpublic information concerning that company, (b) tip or disclose material nonpublic information concerning any other public company to anyone, or (c) give trading advice of any kind to anyone concerning any other public company while possessing material nonpublic information about that company.</w:t>
      </w:r>
    </w:p>
    <w:p>
      <w:pPr>
        <w:spacing w:after="0" w:line="202" w:lineRule="exact"/>
        <w:rPr>
          <w:rFonts w:ascii="Times New Roman" w:cs="Times New Roman" w:eastAsia="Times New Roman" w:hAnsi="Times New Roman"/>
          <w:sz w:val="20"/>
          <w:szCs w:val="20"/>
          <w:color w:val="auto"/>
        </w:rPr>
      </w:pPr>
    </w:p>
    <w:p>
      <w:pPr>
        <w:jc w:val="both"/>
        <w:ind w:left="2280" w:hanging="750"/>
        <w:spacing w:after="0" w:line="244" w:lineRule="auto"/>
        <w:tabs>
          <w:tab w:leader="none" w:pos="2280" w:val="left"/>
        </w:tabs>
        <w:numPr>
          <w:ilvl w:val="0"/>
          <w:numId w:val="39"/>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Hedging. </w:t>
      </w:r>
      <w:r>
        <w:rPr>
          <w:rFonts w:ascii="Verdana" w:cs="Verdana" w:eastAsia="Verdana" w:hAnsi="Verdana"/>
          <w:sz w:val="20"/>
          <w:szCs w:val="20"/>
          <w:color w:val="auto"/>
        </w:rPr>
        <w:t>No Insider may engage in hedging transactions involving Company securities,</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including forward sale or purchase contracts, equity swaps, collars or exchange funds. Such transactions are speculative in nature and therefore create the appearance that the transaction is based on nonpublic information.</w:t>
      </w:r>
    </w:p>
    <w:p>
      <w:pPr>
        <w:spacing w:after="0" w:line="198" w:lineRule="exact"/>
        <w:rPr>
          <w:rFonts w:ascii="Times New Roman" w:cs="Times New Roman" w:eastAsia="Times New Roman" w:hAnsi="Times New Roman"/>
          <w:sz w:val="20"/>
          <w:szCs w:val="20"/>
          <w:color w:val="auto"/>
        </w:rPr>
      </w:pPr>
    </w:p>
    <w:p>
      <w:pPr>
        <w:jc w:val="both"/>
        <w:ind w:left="2280" w:hanging="750"/>
        <w:spacing w:after="0" w:line="241" w:lineRule="auto"/>
        <w:tabs>
          <w:tab w:leader="none" w:pos="2280" w:val="left"/>
        </w:tabs>
        <w:numPr>
          <w:ilvl w:val="0"/>
          <w:numId w:val="39"/>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Margin Accounts and Pledged Securities. </w:t>
      </w:r>
      <w:r>
        <w:rPr>
          <w:rFonts w:ascii="Verdana" w:cs="Verdana" w:eastAsia="Verdana" w:hAnsi="Verdana"/>
          <w:sz w:val="20"/>
          <w:szCs w:val="20"/>
          <w:color w:val="auto"/>
        </w:rPr>
        <w:t>Securities held in a margin account as</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w:t>
      </w:r>
    </w:p>
    <w:p>
      <w:pPr>
        <w:spacing w:after="0" w:line="204" w:lineRule="exact"/>
        <w:rPr>
          <w:rFonts w:ascii="Times New Roman" w:cs="Times New Roman" w:eastAsia="Times New Roman" w:hAnsi="Times New Roman"/>
          <w:sz w:val="20"/>
          <w:szCs w:val="20"/>
          <w:color w:val="auto"/>
        </w:rPr>
      </w:pPr>
    </w:p>
    <w:p>
      <w:pPr>
        <w:jc w:val="both"/>
        <w:ind w:left="2280" w:hanging="750"/>
        <w:spacing w:after="0" w:line="244" w:lineRule="auto"/>
        <w:tabs>
          <w:tab w:leader="none" w:pos="2280" w:val="left"/>
        </w:tabs>
        <w:numPr>
          <w:ilvl w:val="0"/>
          <w:numId w:val="39"/>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Charitable gifts. </w:t>
      </w:r>
      <w:r>
        <w:rPr>
          <w:rFonts w:ascii="Verdana" w:cs="Verdana" w:eastAsia="Verdana" w:hAnsi="Verdana"/>
          <w:sz w:val="20"/>
          <w:szCs w:val="20"/>
          <w:color w:val="auto"/>
        </w:rPr>
        <w:t>Insiders are permitted to make charitable gifts of Company stock,</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regardless of whether a trading window is open or a Blackout Period is in effect, provided the Insider obtains prior approval from either the Compliance Committee or the Compliance Officer.</w:t>
      </w:r>
    </w:p>
    <w:p>
      <w:pPr>
        <w:spacing w:after="0" w:line="239" w:lineRule="exact"/>
        <w:rPr>
          <w:sz w:val="20"/>
          <w:szCs w:val="20"/>
          <w:color w:val="auto"/>
        </w:rPr>
      </w:pPr>
    </w:p>
    <w:p>
      <w:pPr>
        <w:spacing w:after="0"/>
        <w:rPr>
          <w:sz w:val="20"/>
          <w:szCs w:val="20"/>
          <w:color w:val="auto"/>
        </w:rPr>
      </w:pPr>
      <w:r>
        <w:rPr>
          <w:rFonts w:ascii="Verdana" w:cs="Verdana" w:eastAsia="Verdana" w:hAnsi="Verdana"/>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6" w:name="page87"/>
    <w:bookmarkEnd w:id="86"/>
    <w:p>
      <w:pPr>
        <w:spacing w:after="0" w:line="94" w:lineRule="exact"/>
        <w:rPr>
          <w:sz w:val="20"/>
          <w:szCs w:val="20"/>
          <w:color w:val="auto"/>
        </w:rPr>
      </w:pPr>
    </w:p>
    <w:p>
      <w:pPr>
        <w:ind w:left="1540" w:hanging="758"/>
        <w:spacing w:after="0"/>
        <w:tabs>
          <w:tab w:leader="none" w:pos="1540" w:val="left"/>
        </w:tabs>
        <w:numPr>
          <w:ilvl w:val="0"/>
          <w:numId w:val="40"/>
        </w:numPr>
        <w:rPr>
          <w:rFonts w:ascii="Times New Roman" w:cs="Times New Roman" w:eastAsia="Times New Roman" w:hAnsi="Times New Roman"/>
          <w:sz w:val="20"/>
          <w:szCs w:val="20"/>
          <w:color w:val="auto"/>
        </w:rPr>
      </w:pPr>
      <w:r>
        <w:rPr>
          <w:rFonts w:ascii="Verdana" w:cs="Verdana" w:eastAsia="Verdana" w:hAnsi="Verdana"/>
          <w:sz w:val="20"/>
          <w:szCs w:val="20"/>
          <w:u w:val="single" w:color="auto"/>
          <w:color w:val="auto"/>
        </w:rPr>
        <w:t>Trading Windows and Blackout Periods</w:t>
      </w:r>
      <w:r>
        <w:rPr>
          <w:rFonts w:ascii="Verdana" w:cs="Verdana" w:eastAsia="Verdana" w:hAnsi="Verdana"/>
          <w:sz w:val="20"/>
          <w:szCs w:val="20"/>
          <w:color w:val="auto"/>
        </w:rPr>
        <w:t>.</w:t>
      </w:r>
    </w:p>
    <w:p>
      <w:pPr>
        <w:spacing w:after="0" w:line="228" w:lineRule="exact"/>
        <w:rPr>
          <w:rFonts w:ascii="Times New Roman" w:cs="Times New Roman" w:eastAsia="Times New Roman" w:hAnsi="Times New Roman"/>
          <w:sz w:val="20"/>
          <w:szCs w:val="20"/>
          <w:color w:val="auto"/>
        </w:rPr>
      </w:pPr>
    </w:p>
    <w:p>
      <w:pPr>
        <w:jc w:val="both"/>
        <w:ind w:left="2280" w:hanging="750"/>
        <w:spacing w:after="0" w:line="241" w:lineRule="auto"/>
        <w:tabs>
          <w:tab w:leader="none" w:pos="2280" w:val="left"/>
        </w:tabs>
        <w:numPr>
          <w:ilvl w:val="1"/>
          <w:numId w:val="40"/>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Trading Windows for Section 16 Individuals. </w:t>
      </w:r>
      <w:r>
        <w:rPr>
          <w:rFonts w:ascii="Verdana" w:cs="Verdana" w:eastAsia="Verdana" w:hAnsi="Verdana"/>
          <w:sz w:val="20"/>
          <w:szCs w:val="20"/>
          <w:color w:val="auto"/>
        </w:rPr>
        <w:t>After obtaining trading approval from the</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 xml:space="preserve">Compliance Committee in accordance with the procedures set forth in Section VII below, Section 16 Individuals listed on </w:t>
      </w:r>
      <w:r>
        <w:rPr>
          <w:rFonts w:ascii="Verdana" w:cs="Verdana" w:eastAsia="Verdana" w:hAnsi="Verdana"/>
          <w:sz w:val="20"/>
          <w:szCs w:val="20"/>
          <w:u w:val="single" w:color="auto"/>
          <w:color w:val="auto"/>
        </w:rPr>
        <w:t>Attachment A</w:t>
      </w:r>
      <w:r>
        <w:rPr>
          <w:rFonts w:ascii="Verdana" w:cs="Verdana" w:eastAsia="Verdana" w:hAnsi="Verdana"/>
          <w:sz w:val="20"/>
          <w:szCs w:val="20"/>
          <w:color w:val="auto"/>
        </w:rPr>
        <w:t xml:space="preserve"> attached hereto may trade in Company securities only during the period beginning once one full Trading Session has elapsed following the Company’s widespread public release of quarterly or year-end earnings, and ending at the close of trading on the 15th day of the last month of the then- current fiscal quarter.</w:t>
      </w:r>
    </w:p>
    <w:p>
      <w:pPr>
        <w:spacing w:after="0" w:line="207" w:lineRule="exact"/>
        <w:rPr>
          <w:rFonts w:ascii="Times New Roman" w:cs="Times New Roman" w:eastAsia="Times New Roman" w:hAnsi="Times New Roman"/>
          <w:sz w:val="20"/>
          <w:szCs w:val="20"/>
          <w:color w:val="auto"/>
        </w:rPr>
      </w:pPr>
    </w:p>
    <w:p>
      <w:pPr>
        <w:jc w:val="both"/>
        <w:ind w:left="2280" w:hanging="750"/>
        <w:spacing w:after="0" w:line="242" w:lineRule="auto"/>
        <w:tabs>
          <w:tab w:leader="none" w:pos="2280" w:val="left"/>
        </w:tabs>
        <w:numPr>
          <w:ilvl w:val="1"/>
          <w:numId w:val="40"/>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Trading Windows for All Other Insiders at Director-level or above. </w:t>
      </w:r>
      <w:r>
        <w:rPr>
          <w:rFonts w:ascii="Verdana" w:cs="Verdana" w:eastAsia="Verdana" w:hAnsi="Verdana"/>
          <w:sz w:val="20"/>
          <w:szCs w:val="20"/>
          <w:color w:val="auto"/>
        </w:rPr>
        <w:t>All other Insiders at</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Director-level or above (other than Section 16 Individuals as addressed above) may trade in Company securities only during the period beginning once one full Trading Session has elapsed following the Company’s widespread public release of quarterly or year-end earnings and ending at the close of trading on the 15th day of the last month of the then-current fiscal quarter.</w:t>
      </w:r>
    </w:p>
    <w:p>
      <w:pPr>
        <w:spacing w:after="0" w:line="202" w:lineRule="exact"/>
        <w:rPr>
          <w:rFonts w:ascii="Times New Roman" w:cs="Times New Roman" w:eastAsia="Times New Roman" w:hAnsi="Times New Roman"/>
          <w:sz w:val="20"/>
          <w:szCs w:val="20"/>
          <w:color w:val="auto"/>
        </w:rPr>
      </w:pPr>
    </w:p>
    <w:p>
      <w:pPr>
        <w:jc w:val="both"/>
        <w:ind w:left="2280" w:hanging="750"/>
        <w:spacing w:after="0" w:line="242" w:lineRule="auto"/>
        <w:tabs>
          <w:tab w:leader="none" w:pos="2280" w:val="left"/>
        </w:tabs>
        <w:numPr>
          <w:ilvl w:val="1"/>
          <w:numId w:val="40"/>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No Trading During Trading Windows While in the Possession of Material Nonpublic Information. </w:t>
      </w:r>
      <w:r>
        <w:rPr>
          <w:rFonts w:ascii="Verdana" w:cs="Verdana" w:eastAsia="Verdana" w:hAnsi="Verdana"/>
          <w:sz w:val="20"/>
          <w:szCs w:val="20"/>
          <w:color w:val="auto"/>
        </w:rPr>
        <w:t>No Insiders possessing material nonpublic information concerning the</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Company may trade in Company securities even during applicable trading windows. Persons possessing such information may trade only during the period beginning once one full Trading Session has elapsed following the Company’s widespread public release of the information.</w:t>
      </w:r>
    </w:p>
    <w:p>
      <w:pPr>
        <w:spacing w:after="0" w:line="202" w:lineRule="exact"/>
        <w:rPr>
          <w:rFonts w:ascii="Times New Roman" w:cs="Times New Roman" w:eastAsia="Times New Roman" w:hAnsi="Times New Roman"/>
          <w:sz w:val="20"/>
          <w:szCs w:val="20"/>
          <w:color w:val="auto"/>
        </w:rPr>
      </w:pPr>
    </w:p>
    <w:p>
      <w:pPr>
        <w:jc w:val="both"/>
        <w:ind w:left="2280" w:hanging="750"/>
        <w:spacing w:after="0" w:line="239" w:lineRule="auto"/>
        <w:tabs>
          <w:tab w:leader="none" w:pos="2280" w:val="left"/>
        </w:tabs>
        <w:numPr>
          <w:ilvl w:val="1"/>
          <w:numId w:val="40"/>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No Trading During Blackout Periods. </w:t>
      </w:r>
      <w:r>
        <w:rPr>
          <w:rFonts w:ascii="Verdana" w:cs="Verdana" w:eastAsia="Verdana" w:hAnsi="Verdana"/>
          <w:sz w:val="20"/>
          <w:szCs w:val="20"/>
          <w:color w:val="auto"/>
        </w:rPr>
        <w:t>No Insiders at Director-level or above may trade in</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Company securities outside of the applicable trading windows or during any special blackout periods that the Compliance Officer may designate (“Blackout Period”). This includes changes in allocations of 401k contributions into and out of the Hub Group Stock Fund, as further discussed in Section</w:t>
      </w:r>
    </w:p>
    <w:p>
      <w:pPr>
        <w:spacing w:after="0" w:line="3" w:lineRule="exact"/>
        <w:rPr>
          <w:rFonts w:ascii="Times New Roman" w:cs="Times New Roman" w:eastAsia="Times New Roman" w:hAnsi="Times New Roman"/>
          <w:sz w:val="20"/>
          <w:szCs w:val="20"/>
          <w:color w:val="auto"/>
        </w:rPr>
      </w:pPr>
    </w:p>
    <w:p>
      <w:pPr>
        <w:ind w:left="2280"/>
        <w:spacing w:after="0" w:line="253" w:lineRule="auto"/>
        <w:rPr>
          <w:rFonts w:ascii="Times New Roman" w:cs="Times New Roman" w:eastAsia="Times New Roman" w:hAnsi="Times New Roman"/>
          <w:sz w:val="20"/>
          <w:szCs w:val="20"/>
          <w:color w:val="auto"/>
        </w:rPr>
      </w:pPr>
      <w:r>
        <w:rPr>
          <w:rFonts w:ascii="Verdana" w:cs="Verdana" w:eastAsia="Verdana" w:hAnsi="Verdana"/>
          <w:sz w:val="20"/>
          <w:szCs w:val="20"/>
          <w:color w:val="auto"/>
        </w:rPr>
        <w:t>VIII.2 below. No Insiders may disclose to any outside third party that a special blackout period has been designated.</w:t>
      </w:r>
    </w:p>
    <w:p>
      <w:pPr>
        <w:spacing w:after="0" w:line="176" w:lineRule="exact"/>
        <w:rPr>
          <w:rFonts w:ascii="Times New Roman" w:cs="Times New Roman" w:eastAsia="Times New Roman" w:hAnsi="Times New Roman"/>
          <w:sz w:val="20"/>
          <w:szCs w:val="20"/>
          <w:color w:val="auto"/>
        </w:rPr>
      </w:pPr>
    </w:p>
    <w:p>
      <w:pPr>
        <w:jc w:val="both"/>
        <w:ind w:left="2280" w:hanging="750"/>
        <w:spacing w:after="0" w:line="244" w:lineRule="auto"/>
        <w:tabs>
          <w:tab w:leader="none" w:pos="2280" w:val="left"/>
        </w:tabs>
        <w:numPr>
          <w:ilvl w:val="1"/>
          <w:numId w:val="40"/>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Exceptions for Hardship Cases. </w:t>
      </w:r>
      <w:r>
        <w:rPr>
          <w:rFonts w:ascii="Verdana" w:cs="Verdana" w:eastAsia="Verdana" w:hAnsi="Verdana"/>
          <w:sz w:val="20"/>
          <w:szCs w:val="20"/>
          <w:color w:val="auto"/>
        </w:rPr>
        <w:t>The Compliance Officer may, on a case-by- case basis,</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authorize trading in Company securities outside of the applicable trading windows (but not during a special blackout period) due to financial hardship or other hardships, but only in accordance with the procedures set forth in Section VII.B below.</w:t>
      </w:r>
    </w:p>
    <w:p>
      <w:pPr>
        <w:spacing w:after="0" w:line="198" w:lineRule="exact"/>
        <w:rPr>
          <w:rFonts w:ascii="Times New Roman" w:cs="Times New Roman" w:eastAsia="Times New Roman" w:hAnsi="Times New Roman"/>
          <w:sz w:val="20"/>
          <w:szCs w:val="20"/>
          <w:color w:val="auto"/>
        </w:rPr>
      </w:pPr>
    </w:p>
    <w:p>
      <w:pPr>
        <w:ind w:left="2280" w:hanging="750"/>
        <w:spacing w:after="0" w:line="252" w:lineRule="auto"/>
        <w:tabs>
          <w:tab w:leader="none" w:pos="2280" w:val="left"/>
        </w:tabs>
        <w:numPr>
          <w:ilvl w:val="1"/>
          <w:numId w:val="40"/>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Exceptions for Rule 10b5-1 Plans. </w:t>
      </w:r>
      <w:r>
        <w:rPr>
          <w:rFonts w:ascii="Verdana" w:cs="Verdana" w:eastAsia="Verdana" w:hAnsi="Verdana"/>
          <w:sz w:val="20"/>
          <w:szCs w:val="20"/>
          <w:color w:val="auto"/>
        </w:rPr>
        <w:t>An Insider may purchase or sell stock outside the</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trading window if the individual has</w:t>
      </w:r>
    </w:p>
    <w:p>
      <w:pPr>
        <w:spacing w:after="0" w:line="244" w:lineRule="exact"/>
        <w:rPr>
          <w:sz w:val="20"/>
          <w:szCs w:val="20"/>
          <w:color w:val="auto"/>
        </w:rPr>
      </w:pPr>
    </w:p>
    <w:p>
      <w:pPr>
        <w:spacing w:after="0"/>
        <w:rPr>
          <w:sz w:val="20"/>
          <w:szCs w:val="20"/>
          <w:color w:val="auto"/>
        </w:rPr>
      </w:pPr>
      <w:r>
        <w:rPr>
          <w:rFonts w:ascii="Verdana" w:cs="Verdana" w:eastAsia="Verdana" w:hAnsi="Verdana"/>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7" w:name="page88"/>
    <w:bookmarkEnd w:id="87"/>
    <w:p>
      <w:pPr>
        <w:spacing w:after="0" w:line="94" w:lineRule="exact"/>
        <w:rPr>
          <w:sz w:val="20"/>
          <w:szCs w:val="20"/>
          <w:color w:val="auto"/>
        </w:rPr>
      </w:pPr>
    </w:p>
    <w:p>
      <w:pPr>
        <w:jc w:val="both"/>
        <w:ind w:left="2280"/>
        <w:spacing w:after="0" w:line="244" w:lineRule="auto"/>
        <w:rPr>
          <w:sz w:val="20"/>
          <w:szCs w:val="20"/>
          <w:color w:val="auto"/>
        </w:rPr>
      </w:pPr>
      <w:r>
        <w:rPr>
          <w:rFonts w:ascii="Verdana" w:cs="Verdana" w:eastAsia="Verdana" w:hAnsi="Verdana"/>
          <w:sz w:val="20"/>
          <w:szCs w:val="20"/>
          <w:color w:val="auto"/>
        </w:rPr>
        <w:t>executed a plan meeting the requirements of Rule 10b5-1 under the Exchange Act. The Plan must be put into place while the trading window is open and the Insider is not in possession of material non-public information. Section 16 Individuals must have pre-approval of their Rule 10b5-1 Plans from the Compliance Committee.</w:t>
      </w:r>
    </w:p>
    <w:p>
      <w:pPr>
        <w:spacing w:after="0" w:line="200" w:lineRule="exact"/>
        <w:rPr>
          <w:sz w:val="20"/>
          <w:szCs w:val="20"/>
          <w:color w:val="auto"/>
        </w:rPr>
      </w:pPr>
    </w:p>
    <w:p>
      <w:pPr>
        <w:jc w:val="both"/>
        <w:ind w:left="1520" w:hanging="738"/>
        <w:spacing w:after="0" w:line="241" w:lineRule="auto"/>
        <w:tabs>
          <w:tab w:leader="none" w:pos="1520" w:val="left"/>
        </w:tabs>
        <w:numPr>
          <w:ilvl w:val="0"/>
          <w:numId w:val="41"/>
        </w:numPr>
        <w:rPr>
          <w:rFonts w:ascii="Times New Roman" w:cs="Times New Roman" w:eastAsia="Times New Roman" w:hAnsi="Times New Roman"/>
          <w:sz w:val="20"/>
          <w:szCs w:val="20"/>
          <w:color w:val="auto"/>
        </w:rPr>
      </w:pPr>
      <w:r>
        <w:rPr>
          <w:rFonts w:ascii="Verdana" w:cs="Verdana" w:eastAsia="Verdana" w:hAnsi="Verdana"/>
          <w:sz w:val="20"/>
          <w:szCs w:val="20"/>
          <w:u w:val="single" w:color="auto"/>
          <w:color w:val="auto"/>
        </w:rPr>
        <w:t>Approved Rule 10b5-1 Plans</w:t>
      </w:r>
      <w:r>
        <w:rPr>
          <w:rFonts w:ascii="Verdana" w:cs="Verdana" w:eastAsia="Verdana" w:hAnsi="Verdana"/>
          <w:sz w:val="20"/>
          <w:szCs w:val="20"/>
          <w:color w:val="auto"/>
        </w:rPr>
        <w:t>. An Insider can avoid liability for insider trading by taking advantage of the affirmative defense established by Rule 10b5-1 under the Exchange Act. Rule 10b5-1 allows purchases and sales to be made for the account of a person at a time when that person is aware of material, non-public information if the transaction is pursuant to a binding contract, specific instruction or written plan that was entered into at a time when the person was not aware of any material, non-public information and the plan complies with the other requirements of Rule 10b5-1. Such an arrangement is referred to as a “Rule 10b5-1 Plan”. Trades by Insiders in the Company’s securities pursuant to an approved Rule 10b5-1 Plan are not subject to the prohibition on trading only during trading windows. The Company requires that all Section 16 Individuals’ Rule 10b5-1 Plans be approved in writing in advance by the Compliance Officer. If you have any interest in adopting a Rule 10b5-1 Plan, please contact the Compliance Officer for additional information.</w:t>
      </w:r>
    </w:p>
    <w:p>
      <w:pPr>
        <w:spacing w:after="0" w:line="198"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Verdana" w:cs="Verdana" w:eastAsia="Verdana" w:hAnsi="Verdana"/>
          <w:sz w:val="20"/>
          <w:szCs w:val="20"/>
          <w:b w:val="1"/>
          <w:bCs w:val="1"/>
          <w:color w:val="auto"/>
        </w:rPr>
        <w:t>Compliance Committee Duties &amp; Procedures</w:t>
      </w:r>
    </w:p>
    <w:p>
      <w:pPr>
        <w:spacing w:after="0" w:line="232" w:lineRule="exact"/>
        <w:rPr>
          <w:sz w:val="20"/>
          <w:szCs w:val="20"/>
          <w:color w:val="auto"/>
        </w:rPr>
      </w:pPr>
    </w:p>
    <w:p>
      <w:pPr>
        <w:jc w:val="both"/>
        <w:ind w:left="1520" w:hanging="738"/>
        <w:spacing w:after="0" w:line="265" w:lineRule="auto"/>
        <w:tabs>
          <w:tab w:leader="none" w:pos="1520" w:val="left"/>
        </w:tabs>
        <w:numPr>
          <w:ilvl w:val="0"/>
          <w:numId w:val="42"/>
        </w:numPr>
        <w:rPr>
          <w:rFonts w:ascii="Times New Roman" w:cs="Times New Roman" w:eastAsia="Times New Roman" w:hAnsi="Times New Roman"/>
          <w:sz w:val="19"/>
          <w:szCs w:val="19"/>
          <w:color w:val="auto"/>
        </w:rPr>
      </w:pPr>
      <w:r>
        <w:rPr>
          <w:rFonts w:ascii="Verdana" w:cs="Verdana" w:eastAsia="Verdana" w:hAnsi="Verdana"/>
          <w:sz w:val="19"/>
          <w:szCs w:val="19"/>
          <w:color w:val="auto"/>
        </w:rPr>
        <w:t>The Compliance Committee will consist of the Chief Executive Officer and the General Counsel. The Compliance Committee will review and either approve or prohibit all proposed trades by Section 16 Individuals in accordance with the procedures set forth in Section VII below.</w:t>
      </w:r>
    </w:p>
    <w:p>
      <w:pPr>
        <w:spacing w:after="0" w:line="178" w:lineRule="exact"/>
        <w:rPr>
          <w:rFonts w:ascii="Times New Roman" w:cs="Times New Roman" w:eastAsia="Times New Roman" w:hAnsi="Times New Roman"/>
          <w:sz w:val="19"/>
          <w:szCs w:val="19"/>
          <w:color w:val="auto"/>
        </w:rPr>
      </w:pPr>
    </w:p>
    <w:p>
      <w:pPr>
        <w:ind w:left="1520" w:hanging="738"/>
        <w:spacing w:after="0" w:line="252" w:lineRule="auto"/>
        <w:tabs>
          <w:tab w:leader="none" w:pos="1520" w:val="left"/>
        </w:tabs>
        <w:numPr>
          <w:ilvl w:val="0"/>
          <w:numId w:val="42"/>
        </w:numPr>
        <w:rPr>
          <w:rFonts w:ascii="Times New Roman" w:cs="Times New Roman" w:eastAsia="Times New Roman" w:hAnsi="Times New Roman"/>
          <w:sz w:val="20"/>
          <w:szCs w:val="20"/>
          <w:color w:val="auto"/>
        </w:rPr>
      </w:pPr>
      <w:r>
        <w:rPr>
          <w:rFonts w:ascii="Verdana" w:cs="Verdana" w:eastAsia="Verdana" w:hAnsi="Verdana"/>
          <w:sz w:val="20"/>
          <w:szCs w:val="20"/>
          <w:color w:val="auto"/>
        </w:rPr>
        <w:t>In addition to the trading approval duties described in Section VII below, the duties of the Compliance Officer will include the following:</w:t>
      </w:r>
    </w:p>
    <w:p>
      <w:pPr>
        <w:spacing w:after="0" w:line="190" w:lineRule="exact"/>
        <w:rPr>
          <w:rFonts w:ascii="Times New Roman" w:cs="Times New Roman" w:eastAsia="Times New Roman" w:hAnsi="Times New Roman"/>
          <w:sz w:val="20"/>
          <w:szCs w:val="20"/>
          <w:color w:val="auto"/>
        </w:rPr>
      </w:pPr>
    </w:p>
    <w:p>
      <w:pPr>
        <w:ind w:left="2280" w:hanging="750"/>
        <w:spacing w:after="0" w:line="252" w:lineRule="auto"/>
        <w:tabs>
          <w:tab w:leader="none" w:pos="2280" w:val="left"/>
        </w:tabs>
        <w:numPr>
          <w:ilvl w:val="1"/>
          <w:numId w:val="42"/>
        </w:numPr>
        <w:rPr>
          <w:rFonts w:ascii="Times New Roman" w:cs="Times New Roman" w:eastAsia="Times New Roman" w:hAnsi="Times New Roman"/>
          <w:sz w:val="20"/>
          <w:szCs w:val="20"/>
          <w:color w:val="auto"/>
        </w:rPr>
      </w:pPr>
      <w:r>
        <w:rPr>
          <w:rFonts w:ascii="Verdana" w:cs="Verdana" w:eastAsia="Verdana" w:hAnsi="Verdana"/>
          <w:sz w:val="20"/>
          <w:szCs w:val="20"/>
          <w:color w:val="auto"/>
        </w:rPr>
        <w:t>Administering this policy and monitoring and enforcing compliance with all policy provisions and procedures.</w:t>
      </w:r>
    </w:p>
    <w:p>
      <w:pPr>
        <w:spacing w:after="0" w:line="190" w:lineRule="exact"/>
        <w:rPr>
          <w:rFonts w:ascii="Times New Roman" w:cs="Times New Roman" w:eastAsia="Times New Roman" w:hAnsi="Times New Roman"/>
          <w:sz w:val="20"/>
          <w:szCs w:val="20"/>
          <w:color w:val="auto"/>
        </w:rPr>
      </w:pPr>
    </w:p>
    <w:p>
      <w:pPr>
        <w:ind w:left="2280" w:hanging="750"/>
        <w:spacing w:after="0"/>
        <w:tabs>
          <w:tab w:leader="none" w:pos="2280" w:val="left"/>
        </w:tabs>
        <w:numPr>
          <w:ilvl w:val="1"/>
          <w:numId w:val="42"/>
        </w:numPr>
        <w:rPr>
          <w:rFonts w:ascii="Times New Roman" w:cs="Times New Roman" w:eastAsia="Times New Roman" w:hAnsi="Times New Roman"/>
          <w:sz w:val="20"/>
          <w:szCs w:val="20"/>
          <w:color w:val="auto"/>
        </w:rPr>
      </w:pPr>
      <w:r>
        <w:rPr>
          <w:rFonts w:ascii="Verdana" w:cs="Verdana" w:eastAsia="Verdana" w:hAnsi="Verdana"/>
          <w:sz w:val="20"/>
          <w:szCs w:val="20"/>
          <w:color w:val="auto"/>
        </w:rPr>
        <w:t>Responding to all inquiries relating to this policy and its procedures.</w:t>
      </w:r>
    </w:p>
    <w:p>
      <w:pPr>
        <w:spacing w:after="0" w:line="228" w:lineRule="exact"/>
        <w:rPr>
          <w:rFonts w:ascii="Times New Roman" w:cs="Times New Roman" w:eastAsia="Times New Roman" w:hAnsi="Times New Roman"/>
          <w:sz w:val="20"/>
          <w:szCs w:val="20"/>
          <w:color w:val="auto"/>
        </w:rPr>
      </w:pPr>
    </w:p>
    <w:p>
      <w:pPr>
        <w:jc w:val="both"/>
        <w:ind w:left="2280" w:hanging="750"/>
        <w:spacing w:after="0" w:line="246" w:lineRule="auto"/>
        <w:tabs>
          <w:tab w:leader="none" w:pos="2280" w:val="left"/>
        </w:tabs>
        <w:numPr>
          <w:ilvl w:val="1"/>
          <w:numId w:val="42"/>
        </w:numPr>
        <w:rPr>
          <w:rFonts w:ascii="Times New Roman" w:cs="Times New Roman" w:eastAsia="Times New Roman" w:hAnsi="Times New Roman"/>
          <w:sz w:val="20"/>
          <w:szCs w:val="20"/>
          <w:color w:val="auto"/>
        </w:rPr>
      </w:pPr>
      <w:r>
        <w:rPr>
          <w:rFonts w:ascii="Verdana" w:cs="Verdana" w:eastAsia="Verdana" w:hAnsi="Verdana"/>
          <w:sz w:val="20"/>
          <w:szCs w:val="20"/>
          <w:color w:val="auto"/>
        </w:rPr>
        <w:t>Designating and announcing special trading blackout periods during which those individuals who are subject to the special trading blackout may not trade in Company securities.</w:t>
      </w:r>
    </w:p>
    <w:p>
      <w:pPr>
        <w:spacing w:after="0" w:line="196" w:lineRule="exact"/>
        <w:rPr>
          <w:rFonts w:ascii="Times New Roman" w:cs="Times New Roman" w:eastAsia="Times New Roman" w:hAnsi="Times New Roman"/>
          <w:sz w:val="20"/>
          <w:szCs w:val="20"/>
          <w:color w:val="auto"/>
        </w:rPr>
      </w:pPr>
    </w:p>
    <w:p>
      <w:pPr>
        <w:jc w:val="both"/>
        <w:ind w:left="2280" w:hanging="750"/>
        <w:spacing w:after="0" w:line="246" w:lineRule="auto"/>
        <w:tabs>
          <w:tab w:leader="none" w:pos="2280" w:val="left"/>
        </w:tabs>
        <w:numPr>
          <w:ilvl w:val="1"/>
          <w:numId w:val="42"/>
        </w:numPr>
        <w:rPr>
          <w:rFonts w:ascii="Times New Roman" w:cs="Times New Roman" w:eastAsia="Times New Roman" w:hAnsi="Times New Roman"/>
          <w:sz w:val="20"/>
          <w:szCs w:val="20"/>
          <w:color w:val="auto"/>
        </w:rPr>
      </w:pPr>
      <w:r>
        <w:rPr>
          <w:rFonts w:ascii="Verdana" w:cs="Verdana" w:eastAsia="Verdana" w:hAnsi="Verdana"/>
          <w:sz w:val="20"/>
          <w:szCs w:val="20"/>
          <w:color w:val="auto"/>
        </w:rPr>
        <w:t>Providing copies of this policy and other appropriate materials to all current and new directors, officers and employees, and such other persons who the Compliance Officer determines have</w:t>
      </w:r>
    </w:p>
    <w:p>
      <w:pPr>
        <w:spacing w:after="0" w:line="237" w:lineRule="exact"/>
        <w:rPr>
          <w:sz w:val="20"/>
          <w:szCs w:val="20"/>
          <w:color w:val="auto"/>
        </w:rPr>
      </w:pPr>
    </w:p>
    <w:p>
      <w:pPr>
        <w:spacing w:after="0"/>
        <w:rPr>
          <w:sz w:val="20"/>
          <w:szCs w:val="20"/>
          <w:color w:val="auto"/>
        </w:rPr>
      </w:pPr>
      <w:r>
        <w:rPr>
          <w:rFonts w:ascii="Verdana" w:cs="Verdana" w:eastAsia="Verdana" w:hAnsi="Verdana"/>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8" w:name="page89"/>
    <w:bookmarkEnd w:id="88"/>
    <w:p>
      <w:pPr>
        <w:spacing w:after="0" w:line="94" w:lineRule="exact"/>
        <w:rPr>
          <w:sz w:val="20"/>
          <w:szCs w:val="20"/>
          <w:color w:val="auto"/>
        </w:rPr>
      </w:pPr>
    </w:p>
    <w:p>
      <w:pPr>
        <w:ind w:left="2280"/>
        <w:spacing w:after="0"/>
        <w:tabs>
          <w:tab w:leader="none" w:pos="3380" w:val="left"/>
          <w:tab w:leader="none" w:pos="3920" w:val="left"/>
          <w:tab w:leader="none" w:pos="5040" w:val="left"/>
          <w:tab w:leader="none" w:pos="7820" w:val="left"/>
          <w:tab w:leader="none" w:pos="9500" w:val="left"/>
        </w:tabs>
        <w:rPr>
          <w:sz w:val="20"/>
          <w:szCs w:val="20"/>
          <w:color w:val="auto"/>
        </w:rPr>
      </w:pPr>
      <w:r>
        <w:rPr>
          <w:rFonts w:ascii="Verdana" w:cs="Verdana" w:eastAsia="Verdana" w:hAnsi="Verdana"/>
          <w:sz w:val="20"/>
          <w:szCs w:val="20"/>
          <w:color w:val="auto"/>
        </w:rPr>
        <w:t>access</w:t>
      </w:r>
      <w:r>
        <w:rPr>
          <w:sz w:val="20"/>
          <w:szCs w:val="20"/>
          <w:color w:val="auto"/>
        </w:rPr>
        <w:tab/>
      </w:r>
      <w:r>
        <w:rPr>
          <w:rFonts w:ascii="Verdana" w:cs="Verdana" w:eastAsia="Verdana" w:hAnsi="Verdana"/>
          <w:sz w:val="20"/>
          <w:szCs w:val="20"/>
          <w:color w:val="auto"/>
        </w:rPr>
        <w:t>to</w:t>
      </w:r>
      <w:r>
        <w:rPr>
          <w:sz w:val="20"/>
          <w:szCs w:val="20"/>
          <w:color w:val="auto"/>
        </w:rPr>
        <w:tab/>
      </w:r>
      <w:r>
        <w:rPr>
          <w:rFonts w:ascii="Verdana" w:cs="Verdana" w:eastAsia="Verdana" w:hAnsi="Verdana"/>
          <w:sz w:val="20"/>
          <w:szCs w:val="20"/>
          <w:color w:val="auto"/>
        </w:rPr>
        <w:t>material</w:t>
        <w:tab/>
        <w:t>nonpublic  information</w:t>
      </w:r>
      <w:r>
        <w:rPr>
          <w:sz w:val="20"/>
          <w:szCs w:val="20"/>
          <w:color w:val="auto"/>
        </w:rPr>
        <w:tab/>
      </w:r>
      <w:r>
        <w:rPr>
          <w:rFonts w:ascii="Verdana" w:cs="Verdana" w:eastAsia="Verdana" w:hAnsi="Verdana"/>
          <w:sz w:val="20"/>
          <w:szCs w:val="20"/>
          <w:color w:val="auto"/>
        </w:rPr>
        <w:t>concerning</w:t>
      </w:r>
      <w:r>
        <w:rPr>
          <w:sz w:val="20"/>
          <w:szCs w:val="20"/>
          <w:color w:val="auto"/>
        </w:rPr>
        <w:tab/>
      </w:r>
      <w:r>
        <w:rPr>
          <w:rFonts w:ascii="Verdana" w:cs="Verdana" w:eastAsia="Verdana" w:hAnsi="Verdana"/>
          <w:sz w:val="19"/>
          <w:szCs w:val="19"/>
          <w:color w:val="auto"/>
        </w:rPr>
        <w:t>the Company.</w:t>
      </w:r>
    </w:p>
    <w:p>
      <w:pPr>
        <w:spacing w:after="0" w:line="216" w:lineRule="exact"/>
        <w:rPr>
          <w:sz w:val="20"/>
          <w:szCs w:val="20"/>
          <w:color w:val="auto"/>
        </w:rPr>
      </w:pPr>
    </w:p>
    <w:p>
      <w:pPr>
        <w:jc w:val="both"/>
        <w:ind w:left="2280" w:hanging="750"/>
        <w:spacing w:after="0" w:line="241" w:lineRule="auto"/>
        <w:tabs>
          <w:tab w:leader="none" w:pos="2280" w:val="left"/>
        </w:tabs>
        <w:numPr>
          <w:ilvl w:val="0"/>
          <w:numId w:val="43"/>
        </w:numPr>
        <w:rPr>
          <w:rFonts w:ascii="Times New Roman" w:cs="Times New Roman" w:eastAsia="Times New Roman" w:hAnsi="Times New Roman"/>
          <w:sz w:val="20"/>
          <w:szCs w:val="20"/>
          <w:color w:val="auto"/>
        </w:rPr>
      </w:pPr>
      <w:r>
        <w:rPr>
          <w:rFonts w:ascii="Verdana" w:cs="Verdana" w:eastAsia="Verdana" w:hAnsi="Verdana"/>
          <w:sz w:val="20"/>
          <w:szCs w:val="20"/>
          <w:color w:val="auto"/>
        </w:rPr>
        <w:t>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of 1933 (the Securities Act); and assisting in the preparation and filing of all required SEC reports relating to insider trading in Company securities, including without limitation Forms 3, 4, 5 and 144 and Schedules 13D and 13G.</w:t>
      </w:r>
    </w:p>
    <w:p>
      <w:pPr>
        <w:spacing w:after="0" w:line="207" w:lineRule="exact"/>
        <w:rPr>
          <w:rFonts w:ascii="Times New Roman" w:cs="Times New Roman" w:eastAsia="Times New Roman" w:hAnsi="Times New Roman"/>
          <w:sz w:val="20"/>
          <w:szCs w:val="20"/>
          <w:color w:val="auto"/>
        </w:rPr>
      </w:pPr>
    </w:p>
    <w:p>
      <w:pPr>
        <w:ind w:left="2280" w:right="360" w:hanging="750"/>
        <w:spacing w:after="0" w:line="252" w:lineRule="auto"/>
        <w:tabs>
          <w:tab w:leader="none" w:pos="2280" w:val="left"/>
        </w:tabs>
        <w:numPr>
          <w:ilvl w:val="0"/>
          <w:numId w:val="43"/>
        </w:numPr>
        <w:rPr>
          <w:rFonts w:ascii="Times New Roman" w:cs="Times New Roman" w:eastAsia="Times New Roman" w:hAnsi="Times New Roman"/>
          <w:sz w:val="20"/>
          <w:szCs w:val="20"/>
          <w:color w:val="auto"/>
        </w:rPr>
      </w:pPr>
      <w:r>
        <w:rPr>
          <w:rFonts w:ascii="Verdana" w:cs="Verdana" w:eastAsia="Verdana" w:hAnsi="Verdana"/>
          <w:sz w:val="20"/>
          <w:szCs w:val="20"/>
          <w:color w:val="auto"/>
        </w:rPr>
        <w:t>Revising the policy as necessary to reflect changes in federal or state insider trading laws and regulations.</w:t>
      </w:r>
    </w:p>
    <w:p>
      <w:pPr>
        <w:spacing w:after="0" w:line="190" w:lineRule="exact"/>
        <w:rPr>
          <w:rFonts w:ascii="Times New Roman" w:cs="Times New Roman" w:eastAsia="Times New Roman" w:hAnsi="Times New Roman"/>
          <w:sz w:val="20"/>
          <w:szCs w:val="20"/>
          <w:color w:val="auto"/>
        </w:rPr>
      </w:pPr>
    </w:p>
    <w:p>
      <w:pPr>
        <w:ind w:left="2280" w:right="520" w:hanging="750"/>
        <w:spacing w:after="0" w:line="252" w:lineRule="auto"/>
        <w:tabs>
          <w:tab w:leader="none" w:pos="2280" w:val="left"/>
        </w:tabs>
        <w:numPr>
          <w:ilvl w:val="0"/>
          <w:numId w:val="43"/>
        </w:numPr>
        <w:rPr>
          <w:rFonts w:ascii="Times New Roman" w:cs="Times New Roman" w:eastAsia="Times New Roman" w:hAnsi="Times New Roman"/>
          <w:sz w:val="20"/>
          <w:szCs w:val="20"/>
          <w:color w:val="auto"/>
        </w:rPr>
      </w:pPr>
      <w:r>
        <w:rPr>
          <w:rFonts w:ascii="Verdana" w:cs="Verdana" w:eastAsia="Verdana" w:hAnsi="Verdana"/>
          <w:sz w:val="20"/>
          <w:szCs w:val="20"/>
          <w:color w:val="auto"/>
        </w:rPr>
        <w:t>Assisting in the preparation and filing of all required SEC reports relating to insider trading in Company securities.</w:t>
      </w:r>
    </w:p>
    <w:p>
      <w:pPr>
        <w:spacing w:after="0" w:line="190" w:lineRule="exact"/>
        <w:rPr>
          <w:rFonts w:ascii="Times New Roman" w:cs="Times New Roman" w:eastAsia="Times New Roman" w:hAnsi="Times New Roman"/>
          <w:sz w:val="20"/>
          <w:szCs w:val="20"/>
          <w:color w:val="auto"/>
        </w:rPr>
      </w:pPr>
    </w:p>
    <w:p>
      <w:pPr>
        <w:jc w:val="both"/>
        <w:ind w:left="2280" w:hanging="750"/>
        <w:spacing w:after="0" w:line="246" w:lineRule="auto"/>
        <w:tabs>
          <w:tab w:leader="none" w:pos="2280" w:val="left"/>
        </w:tabs>
        <w:numPr>
          <w:ilvl w:val="0"/>
          <w:numId w:val="43"/>
        </w:numPr>
        <w:rPr>
          <w:rFonts w:ascii="Times New Roman" w:cs="Times New Roman" w:eastAsia="Times New Roman" w:hAnsi="Times New Roman"/>
          <w:sz w:val="20"/>
          <w:szCs w:val="20"/>
          <w:color w:val="auto"/>
        </w:rPr>
      </w:pPr>
      <w:r>
        <w:rPr>
          <w:rFonts w:ascii="Verdana" w:cs="Verdana" w:eastAsia="Verdana" w:hAnsi="Verdana"/>
          <w:sz w:val="20"/>
          <w:szCs w:val="20"/>
          <w:color w:val="auto"/>
        </w:rPr>
        <w:t xml:space="preserve">Maintaining the accuracy of the list of Section 16 Individuals as attached on </w:t>
      </w:r>
      <w:r>
        <w:rPr>
          <w:rFonts w:ascii="Verdana" w:cs="Verdana" w:eastAsia="Verdana" w:hAnsi="Verdana"/>
          <w:sz w:val="20"/>
          <w:szCs w:val="20"/>
          <w:u w:val="single" w:color="auto"/>
          <w:color w:val="auto"/>
        </w:rPr>
        <w:t>Attachment A</w:t>
      </w:r>
      <w:r>
        <w:rPr>
          <w:rFonts w:ascii="Verdana" w:cs="Verdana" w:eastAsia="Verdana" w:hAnsi="Verdana"/>
          <w:sz w:val="20"/>
          <w:szCs w:val="20"/>
          <w:color w:val="auto"/>
        </w:rPr>
        <w:t xml:space="preserve"> and updating it periodically as necessary to reflect additions to or deletions from each category.</w:t>
      </w:r>
    </w:p>
    <w:p>
      <w:pPr>
        <w:spacing w:after="0" w:line="196" w:lineRule="exact"/>
        <w:rPr>
          <w:sz w:val="20"/>
          <w:szCs w:val="20"/>
          <w:color w:val="auto"/>
        </w:rPr>
      </w:pPr>
    </w:p>
    <w:p>
      <w:pPr>
        <w:jc w:val="both"/>
        <w:ind w:left="40"/>
        <w:spacing w:after="0" w:line="246" w:lineRule="auto"/>
        <w:rPr>
          <w:sz w:val="20"/>
          <w:szCs w:val="20"/>
          <w:color w:val="auto"/>
        </w:rPr>
      </w:pPr>
      <w:r>
        <w:rPr>
          <w:rFonts w:ascii="Verdana" w:cs="Verdana" w:eastAsia="Verdana" w:hAnsi="Verdana"/>
          <w:sz w:val="20"/>
          <w:szCs w:val="20"/>
          <w:color w:val="auto"/>
        </w:rPr>
        <w:t>The Compliance Officer may designate one or more individuals who may perform the Compliance Officer’s duties or the duties of the other members of the Compliance Committee in the event that the Compliance Officer or other Committee members are unable or unavailable to perform such duties.</w:t>
      </w:r>
    </w:p>
    <w:p>
      <w:pPr>
        <w:spacing w:after="0" w:line="19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Verdana" w:cs="Verdana" w:eastAsia="Verdana" w:hAnsi="Verdana"/>
          <w:sz w:val="20"/>
          <w:szCs w:val="20"/>
          <w:b w:val="1"/>
          <w:bCs w:val="1"/>
          <w:color w:val="auto"/>
        </w:rPr>
        <w:t>Procedures for Approving Trades by Section 16 Individuals and Hardship Cases</w:t>
      </w:r>
    </w:p>
    <w:p>
      <w:pPr>
        <w:spacing w:after="0" w:line="232" w:lineRule="exact"/>
        <w:rPr>
          <w:sz w:val="20"/>
          <w:szCs w:val="20"/>
          <w:color w:val="auto"/>
        </w:rPr>
      </w:pPr>
    </w:p>
    <w:p>
      <w:pPr>
        <w:ind w:left="1520" w:right="380" w:hanging="738"/>
        <w:spacing w:after="0" w:line="252" w:lineRule="auto"/>
        <w:tabs>
          <w:tab w:leader="none" w:pos="1520" w:val="left"/>
        </w:tabs>
        <w:numPr>
          <w:ilvl w:val="0"/>
          <w:numId w:val="44"/>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Section 16 Individual Trades. </w:t>
      </w:r>
      <w:r>
        <w:rPr>
          <w:rFonts w:ascii="Verdana" w:cs="Verdana" w:eastAsia="Verdana" w:hAnsi="Verdana"/>
          <w:sz w:val="20"/>
          <w:szCs w:val="20"/>
          <w:color w:val="auto"/>
        </w:rPr>
        <w:t>No Section 16 Individual may trade in Company securities</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until:</w:t>
      </w:r>
    </w:p>
    <w:p>
      <w:pPr>
        <w:spacing w:after="0" w:line="190" w:lineRule="exact"/>
        <w:rPr>
          <w:rFonts w:ascii="Times New Roman" w:cs="Times New Roman" w:eastAsia="Times New Roman" w:hAnsi="Times New Roman"/>
          <w:sz w:val="20"/>
          <w:szCs w:val="20"/>
          <w:color w:val="auto"/>
        </w:rPr>
      </w:pPr>
    </w:p>
    <w:p>
      <w:pPr>
        <w:ind w:left="2280" w:right="400" w:hanging="750"/>
        <w:spacing w:after="0" w:line="252" w:lineRule="auto"/>
        <w:tabs>
          <w:tab w:leader="none" w:pos="2280" w:val="left"/>
        </w:tabs>
        <w:numPr>
          <w:ilvl w:val="1"/>
          <w:numId w:val="44"/>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person trading has notified the Compliance Officer in writing of the amount and nature of the proposed trade(s),</w:t>
      </w:r>
    </w:p>
    <w:p>
      <w:pPr>
        <w:spacing w:after="0" w:line="203" w:lineRule="exact"/>
        <w:rPr>
          <w:rFonts w:ascii="Times New Roman" w:cs="Times New Roman" w:eastAsia="Times New Roman" w:hAnsi="Times New Roman"/>
          <w:sz w:val="20"/>
          <w:szCs w:val="20"/>
          <w:color w:val="auto"/>
        </w:rPr>
      </w:pPr>
    </w:p>
    <w:p>
      <w:pPr>
        <w:jc w:val="both"/>
        <w:ind w:left="2280" w:hanging="750"/>
        <w:spacing w:after="0" w:line="243" w:lineRule="auto"/>
        <w:tabs>
          <w:tab w:leader="none" w:pos="2280" w:val="left"/>
        </w:tabs>
        <w:numPr>
          <w:ilvl w:val="1"/>
          <w:numId w:val="44"/>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person trading has certified to the Compliance Officer in writing no earlier than five business days prior to the proposed trade(s) that (i) he or she is not in possession of material nonpublic information concerning the Company and (ii) the proposed trade(s) do not violate the trading restrictions of Section 16 of the Exchange Act or Rule 144 of the Securities Act, and</w:t>
      </w:r>
    </w:p>
    <w:p>
      <w:pPr>
        <w:spacing w:after="0" w:line="185" w:lineRule="exact"/>
        <w:rPr>
          <w:rFonts w:ascii="Times New Roman" w:cs="Times New Roman" w:eastAsia="Times New Roman" w:hAnsi="Times New Roman"/>
          <w:sz w:val="20"/>
          <w:szCs w:val="20"/>
          <w:color w:val="auto"/>
        </w:rPr>
      </w:pPr>
    </w:p>
    <w:p>
      <w:pPr>
        <w:ind w:left="2280" w:hanging="750"/>
        <w:spacing w:after="0" w:line="252" w:lineRule="auto"/>
        <w:tabs>
          <w:tab w:leader="none" w:pos="2280" w:val="left"/>
        </w:tabs>
        <w:numPr>
          <w:ilvl w:val="1"/>
          <w:numId w:val="44"/>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Compliance Committee has approved the trade(s) and the Compliance Officer has certified the Committee’s approval in writing.</w:t>
      </w:r>
    </w:p>
    <w:p>
      <w:pPr>
        <w:spacing w:after="0" w:line="244" w:lineRule="exact"/>
        <w:rPr>
          <w:sz w:val="20"/>
          <w:szCs w:val="20"/>
          <w:color w:val="auto"/>
        </w:rPr>
      </w:pPr>
    </w:p>
    <w:p>
      <w:pPr>
        <w:spacing w:after="0"/>
        <w:rPr>
          <w:sz w:val="20"/>
          <w:szCs w:val="20"/>
          <w:color w:val="auto"/>
        </w:rPr>
      </w:pPr>
      <w:r>
        <w:rPr>
          <w:rFonts w:ascii="Verdana" w:cs="Verdana" w:eastAsia="Verdana" w:hAnsi="Verdana"/>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89" w:name="page90"/>
    <w:bookmarkEnd w:id="89"/>
    <w:p>
      <w:pPr>
        <w:spacing w:after="0" w:line="94" w:lineRule="exact"/>
        <w:rPr>
          <w:sz w:val="20"/>
          <w:szCs w:val="20"/>
          <w:color w:val="auto"/>
        </w:rPr>
      </w:pPr>
    </w:p>
    <w:p>
      <w:pPr>
        <w:jc w:val="both"/>
        <w:ind w:left="2280" w:hanging="750"/>
        <w:spacing w:after="0" w:line="246" w:lineRule="auto"/>
        <w:tabs>
          <w:tab w:leader="none" w:pos="2280" w:val="left"/>
        </w:tabs>
        <w:numPr>
          <w:ilvl w:val="1"/>
          <w:numId w:val="45"/>
        </w:numPr>
        <w:rPr>
          <w:rFonts w:ascii="Times New Roman" w:cs="Times New Roman" w:eastAsia="Times New Roman" w:hAnsi="Times New Roman"/>
          <w:sz w:val="20"/>
          <w:szCs w:val="20"/>
          <w:color w:val="auto"/>
        </w:rPr>
      </w:pPr>
      <w:r>
        <w:rPr>
          <w:rFonts w:ascii="Verdana" w:cs="Verdana" w:eastAsia="Verdana" w:hAnsi="Verdana"/>
          <w:sz w:val="20"/>
          <w:szCs w:val="20"/>
          <w:color w:val="auto"/>
        </w:rPr>
        <w:t>After receiving approval, the Section 16 Individual must execute the approved trade(s) within three business days (and in any event, prior to the expiration of the five-business day period referenced in Section VII.A.2).</w:t>
      </w:r>
    </w:p>
    <w:p>
      <w:pPr>
        <w:spacing w:after="0" w:line="196" w:lineRule="exact"/>
        <w:rPr>
          <w:rFonts w:ascii="Times New Roman" w:cs="Times New Roman" w:eastAsia="Times New Roman" w:hAnsi="Times New Roman"/>
          <w:sz w:val="20"/>
          <w:szCs w:val="20"/>
          <w:color w:val="auto"/>
        </w:rPr>
      </w:pPr>
    </w:p>
    <w:p>
      <w:pPr>
        <w:jc w:val="both"/>
        <w:ind w:left="1520" w:hanging="738"/>
        <w:spacing w:after="0" w:line="246" w:lineRule="auto"/>
        <w:tabs>
          <w:tab w:leader="none" w:pos="1520" w:val="left"/>
        </w:tabs>
        <w:numPr>
          <w:ilvl w:val="0"/>
          <w:numId w:val="46"/>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Hardship Trades. </w:t>
      </w:r>
      <w:r>
        <w:rPr>
          <w:rFonts w:ascii="Verdana" w:cs="Verdana" w:eastAsia="Verdana" w:hAnsi="Verdana"/>
          <w:sz w:val="20"/>
          <w:szCs w:val="20"/>
          <w:color w:val="auto"/>
        </w:rPr>
        <w:t>The Compliance Officer may, on a case-by case basis, authorize trading in</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Company securities outside of the applicable trading window due to financial hardship or other hardships only after:</w:t>
      </w:r>
    </w:p>
    <w:p>
      <w:pPr>
        <w:spacing w:after="0" w:line="196" w:lineRule="exact"/>
        <w:rPr>
          <w:rFonts w:ascii="Times New Roman" w:cs="Times New Roman" w:eastAsia="Times New Roman" w:hAnsi="Times New Roman"/>
          <w:sz w:val="20"/>
          <w:szCs w:val="20"/>
          <w:color w:val="auto"/>
        </w:rPr>
      </w:pPr>
    </w:p>
    <w:p>
      <w:pPr>
        <w:ind w:left="2280" w:hanging="750"/>
        <w:spacing w:after="0" w:line="252" w:lineRule="auto"/>
        <w:tabs>
          <w:tab w:leader="none" w:pos="2280" w:val="left"/>
        </w:tabs>
        <w:numPr>
          <w:ilvl w:val="1"/>
          <w:numId w:val="46"/>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person trading has notified the Compliance Officer in writing of the circumstances of the hardship and the amount and nature of the proposed trade(s).</w:t>
      </w:r>
    </w:p>
    <w:p>
      <w:pPr>
        <w:spacing w:after="0" w:line="190" w:lineRule="exact"/>
        <w:rPr>
          <w:rFonts w:ascii="Times New Roman" w:cs="Times New Roman" w:eastAsia="Times New Roman" w:hAnsi="Times New Roman"/>
          <w:sz w:val="20"/>
          <w:szCs w:val="20"/>
          <w:color w:val="auto"/>
        </w:rPr>
      </w:pPr>
    </w:p>
    <w:p>
      <w:pPr>
        <w:jc w:val="both"/>
        <w:ind w:left="2280" w:hanging="750"/>
        <w:spacing w:after="0" w:line="246" w:lineRule="auto"/>
        <w:tabs>
          <w:tab w:leader="none" w:pos="2280" w:val="left"/>
        </w:tabs>
        <w:numPr>
          <w:ilvl w:val="1"/>
          <w:numId w:val="46"/>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person trading has certified to the Compliance Officer in writing no earlier than two business days prior to the proposed trade(s) that he or she is not in possession of material nonpublic information concerning the Company, and</w:t>
      </w:r>
    </w:p>
    <w:p>
      <w:pPr>
        <w:spacing w:after="0" w:line="196" w:lineRule="exact"/>
        <w:rPr>
          <w:rFonts w:ascii="Times New Roman" w:cs="Times New Roman" w:eastAsia="Times New Roman" w:hAnsi="Times New Roman"/>
          <w:sz w:val="20"/>
          <w:szCs w:val="20"/>
          <w:color w:val="auto"/>
        </w:rPr>
      </w:pPr>
    </w:p>
    <w:p>
      <w:pPr>
        <w:jc w:val="both"/>
        <w:ind w:left="2280" w:hanging="750"/>
        <w:spacing w:after="0" w:line="246" w:lineRule="auto"/>
        <w:tabs>
          <w:tab w:leader="none" w:pos="2280" w:val="left"/>
        </w:tabs>
        <w:numPr>
          <w:ilvl w:val="1"/>
          <w:numId w:val="46"/>
        </w:numPr>
        <w:rPr>
          <w:rFonts w:ascii="Times New Roman" w:cs="Times New Roman" w:eastAsia="Times New Roman" w:hAnsi="Times New Roman"/>
          <w:sz w:val="20"/>
          <w:szCs w:val="20"/>
          <w:color w:val="auto"/>
        </w:rPr>
      </w:pPr>
      <w:r>
        <w:rPr>
          <w:rFonts w:ascii="Verdana" w:cs="Verdana" w:eastAsia="Verdana" w:hAnsi="Verdana"/>
          <w:sz w:val="20"/>
          <w:szCs w:val="20"/>
          <w:color w:val="auto"/>
        </w:rPr>
        <w:t>The Compliance Committee has approved the trade(s) and the Compliance Officer has certified the Committee’s approval in writing. Only the Compliance Officer’s approval is necessary for hardship trades by Insiders who are not Section 16 Individuals.</w:t>
      </w:r>
    </w:p>
    <w:p>
      <w:pPr>
        <w:spacing w:after="0" w:line="196" w:lineRule="exact"/>
        <w:rPr>
          <w:rFonts w:ascii="Times New Roman" w:cs="Times New Roman" w:eastAsia="Times New Roman" w:hAnsi="Times New Roman"/>
          <w:sz w:val="20"/>
          <w:szCs w:val="20"/>
          <w:color w:val="auto"/>
        </w:rPr>
      </w:pPr>
    </w:p>
    <w:p>
      <w:pPr>
        <w:jc w:val="both"/>
        <w:ind w:left="1520" w:hanging="738"/>
        <w:spacing w:after="0" w:line="244" w:lineRule="auto"/>
        <w:tabs>
          <w:tab w:leader="none" w:pos="1520" w:val="left"/>
        </w:tabs>
        <w:numPr>
          <w:ilvl w:val="0"/>
          <w:numId w:val="46"/>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No Obligation to Approve Trades. </w:t>
      </w:r>
      <w:r>
        <w:rPr>
          <w:rFonts w:ascii="Verdana" w:cs="Verdana" w:eastAsia="Verdana" w:hAnsi="Verdana"/>
          <w:sz w:val="20"/>
          <w:szCs w:val="20"/>
          <w:color w:val="auto"/>
        </w:rPr>
        <w:t>The existence of the foregoing approval procedures does not</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in any way obligate the Compliance Officer or Compliance Committee to approve any trades requested by Section 16 Individuals or hardship applications. The Compliance Officer or Compliance Committee may reject any trading requests at their sole reasonable discretion.</w:t>
      </w:r>
    </w:p>
    <w:p>
      <w:pPr>
        <w:spacing w:after="0" w:line="195"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Verdana" w:cs="Verdana" w:eastAsia="Verdana" w:hAnsi="Verdana"/>
          <w:sz w:val="20"/>
          <w:szCs w:val="20"/>
          <w:b w:val="1"/>
          <w:bCs w:val="1"/>
          <w:color w:val="auto"/>
        </w:rPr>
        <w:t>Employee Benefit Plans</w:t>
      </w:r>
    </w:p>
    <w:p>
      <w:pPr>
        <w:spacing w:after="0" w:line="272" w:lineRule="exact"/>
        <w:rPr>
          <w:sz w:val="20"/>
          <w:szCs w:val="20"/>
          <w:color w:val="auto"/>
        </w:rPr>
      </w:pPr>
    </w:p>
    <w:p>
      <w:pPr>
        <w:spacing w:after="0"/>
        <w:rPr>
          <w:sz w:val="20"/>
          <w:szCs w:val="20"/>
          <w:color w:val="auto"/>
        </w:rPr>
      </w:pPr>
      <w:r>
        <w:rPr>
          <w:rFonts w:ascii="Verdana" w:cs="Verdana" w:eastAsia="Verdana" w:hAnsi="Verdana"/>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90" w:name="page91"/>
    <w:bookmarkEnd w:id="90"/>
    <w:p>
      <w:pPr>
        <w:spacing w:after="0" w:line="229" w:lineRule="exact"/>
        <w:rPr>
          <w:sz w:val="20"/>
          <w:szCs w:val="20"/>
          <w:color w:val="auto"/>
        </w:rPr>
      </w:pPr>
    </w:p>
    <w:p>
      <w:pPr>
        <w:jc w:val="both"/>
        <w:ind w:left="1520" w:hanging="738"/>
        <w:spacing w:after="0" w:line="242" w:lineRule="auto"/>
        <w:tabs>
          <w:tab w:leader="none" w:pos="1520" w:val="left"/>
        </w:tabs>
        <w:numPr>
          <w:ilvl w:val="0"/>
          <w:numId w:val="47"/>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 xml:space="preserve">Stock Option Plans. </w:t>
      </w:r>
      <w:r>
        <w:rPr>
          <w:rFonts w:ascii="Verdana" w:cs="Verdana" w:eastAsia="Verdana" w:hAnsi="Verdana"/>
          <w:sz w:val="20"/>
          <w:szCs w:val="20"/>
          <w:color w:val="auto"/>
        </w:rPr>
        <w:t>The policy does not apply to the exercise of an employee stock option, or</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to the exercise of a tax withholding right pursuant to which an Insider elects to have the Company withhold shares subject to an option to satisfy tax withholding requirements. The policy does apply, however, to any sale of stock acquired upon such exercise, including as part of a broker-assisted cashless exercise of an option or any other market sale for the purpose of generating the cash needed to pay the exercise price of an option.</w:t>
      </w:r>
    </w:p>
    <w:p>
      <w:pPr>
        <w:spacing w:after="0" w:line="202" w:lineRule="exact"/>
        <w:rPr>
          <w:rFonts w:ascii="Times New Roman" w:cs="Times New Roman" w:eastAsia="Times New Roman" w:hAnsi="Times New Roman"/>
          <w:sz w:val="20"/>
          <w:szCs w:val="20"/>
          <w:color w:val="auto"/>
        </w:rPr>
      </w:pPr>
    </w:p>
    <w:p>
      <w:pPr>
        <w:ind w:left="1540" w:hanging="758"/>
        <w:spacing w:after="0"/>
        <w:tabs>
          <w:tab w:leader="none" w:pos="1540" w:val="left"/>
        </w:tabs>
        <w:numPr>
          <w:ilvl w:val="0"/>
          <w:numId w:val="47"/>
        </w:numPr>
        <w:rPr>
          <w:rFonts w:ascii="Times New Roman" w:cs="Times New Roman" w:eastAsia="Times New Roman" w:hAnsi="Times New Roman"/>
          <w:sz w:val="20"/>
          <w:szCs w:val="20"/>
          <w:color w:val="auto"/>
        </w:rPr>
      </w:pPr>
      <w:r>
        <w:rPr>
          <w:rFonts w:ascii="Verdana" w:cs="Verdana" w:eastAsia="Verdana" w:hAnsi="Verdana"/>
          <w:sz w:val="20"/>
          <w:szCs w:val="20"/>
          <w:i w:val="1"/>
          <w:iCs w:val="1"/>
          <w:color w:val="auto"/>
        </w:rPr>
        <w:t>401k Plans</w:t>
      </w:r>
      <w:r>
        <w:rPr>
          <w:rFonts w:ascii="Verdana" w:cs="Verdana" w:eastAsia="Verdana" w:hAnsi="Verdana"/>
          <w:sz w:val="20"/>
          <w:szCs w:val="20"/>
          <w:color w:val="auto"/>
        </w:rPr>
        <w:t>.</w:t>
      </w:r>
    </w:p>
    <w:p>
      <w:pPr>
        <w:spacing w:after="0" w:line="228" w:lineRule="exact"/>
        <w:rPr>
          <w:rFonts w:ascii="Times New Roman" w:cs="Times New Roman" w:eastAsia="Times New Roman" w:hAnsi="Times New Roman"/>
          <w:sz w:val="20"/>
          <w:szCs w:val="20"/>
          <w:color w:val="auto"/>
        </w:rPr>
      </w:pPr>
    </w:p>
    <w:p>
      <w:pPr>
        <w:jc w:val="both"/>
        <w:ind w:left="1520"/>
        <w:spacing w:after="0" w:line="244" w:lineRule="auto"/>
        <w:rPr>
          <w:rFonts w:ascii="Times New Roman" w:cs="Times New Roman" w:eastAsia="Times New Roman" w:hAnsi="Times New Roman"/>
          <w:sz w:val="20"/>
          <w:szCs w:val="20"/>
          <w:color w:val="auto"/>
        </w:rPr>
      </w:pPr>
      <w:r>
        <w:rPr>
          <w:rFonts w:ascii="Verdana" w:cs="Verdana" w:eastAsia="Verdana" w:hAnsi="Verdana"/>
          <w:sz w:val="20"/>
          <w:szCs w:val="20"/>
          <w:b w:val="1"/>
          <w:bCs w:val="1"/>
          <w:color w:val="auto"/>
        </w:rPr>
        <w:t xml:space="preserve">Allocation of new 401k funds to the Hub Group Stock Fund: </w:t>
      </w:r>
      <w:r>
        <w:rPr>
          <w:rFonts w:ascii="Verdana" w:cs="Verdana" w:eastAsia="Verdana" w:hAnsi="Verdana"/>
          <w:sz w:val="20"/>
          <w:szCs w:val="20"/>
          <w:color w:val="auto"/>
        </w:rPr>
        <w:t>Except as set forth below,</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the trading prohibitions and restrictions set forth in this policy do not apply to periodic contributions of new funds by the Company or employees to employee benefit plans (e.g., 401K plans) which are used to purchase Company securities pursuant to the</w:t>
      </w:r>
    </w:p>
    <w:p>
      <w:pPr>
        <w:spacing w:after="0" w:line="240" w:lineRule="exact"/>
        <w:rPr>
          <w:sz w:val="20"/>
          <w:szCs w:val="20"/>
          <w:color w:val="auto"/>
        </w:rPr>
      </w:pPr>
    </w:p>
    <w:p>
      <w:pPr>
        <w:spacing w:after="0"/>
        <w:rPr>
          <w:sz w:val="20"/>
          <w:szCs w:val="20"/>
          <w:color w:val="auto"/>
        </w:rPr>
      </w:pPr>
      <w:r>
        <w:rPr>
          <w:rFonts w:ascii="Verdana" w:cs="Verdana" w:eastAsia="Verdana" w:hAnsi="Verdana"/>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91" w:name="page92"/>
    <w:bookmarkEnd w:id="91"/>
    <w:p>
      <w:pPr>
        <w:spacing w:after="0" w:line="94" w:lineRule="exact"/>
        <w:rPr>
          <w:sz w:val="20"/>
          <w:szCs w:val="20"/>
          <w:color w:val="auto"/>
        </w:rPr>
      </w:pPr>
    </w:p>
    <w:p>
      <w:pPr>
        <w:jc w:val="both"/>
        <w:ind w:left="1520"/>
        <w:spacing w:after="0" w:line="246" w:lineRule="auto"/>
        <w:rPr>
          <w:sz w:val="20"/>
          <w:szCs w:val="20"/>
          <w:color w:val="auto"/>
        </w:rPr>
      </w:pPr>
      <w:r>
        <w:rPr>
          <w:rFonts w:ascii="Verdana" w:cs="Verdana" w:eastAsia="Verdana" w:hAnsi="Verdana"/>
          <w:sz w:val="20"/>
          <w:szCs w:val="20"/>
          <w:color w:val="auto"/>
        </w:rPr>
        <w:t>employees’ advance instructions. Employees may change their allocation of new 401k contributions into the Hub Group Stock Fund only when the trading window set forth above is open.</w:t>
      </w:r>
    </w:p>
    <w:p>
      <w:pPr>
        <w:spacing w:after="0" w:line="198" w:lineRule="exact"/>
        <w:rPr>
          <w:sz w:val="20"/>
          <w:szCs w:val="20"/>
          <w:color w:val="auto"/>
        </w:rPr>
      </w:pPr>
    </w:p>
    <w:p>
      <w:pPr>
        <w:jc w:val="both"/>
        <w:ind w:left="1520"/>
        <w:spacing w:after="0" w:line="244" w:lineRule="auto"/>
        <w:rPr>
          <w:sz w:val="20"/>
          <w:szCs w:val="20"/>
          <w:color w:val="auto"/>
        </w:rPr>
      </w:pPr>
      <w:r>
        <w:rPr>
          <w:rFonts w:ascii="Verdana" w:cs="Verdana" w:eastAsia="Verdana" w:hAnsi="Verdana"/>
          <w:sz w:val="20"/>
          <w:szCs w:val="20"/>
          <w:b w:val="1"/>
          <w:bCs w:val="1"/>
          <w:color w:val="auto"/>
        </w:rPr>
        <w:t xml:space="preserve">Transfer of existing funds into or out of the Hub Group Stock Fund: </w:t>
      </w:r>
      <w:r>
        <w:rPr>
          <w:rFonts w:ascii="Verdana" w:cs="Verdana" w:eastAsia="Verdana" w:hAnsi="Verdana"/>
          <w:sz w:val="20"/>
          <w:szCs w:val="20"/>
          <w:color w:val="auto"/>
        </w:rPr>
        <w:t>All elections to</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transfer money from one fund into the Hub Group Stock Fund or elections to transfer money out of the Hub Group Stock Fund into another fund must be made within the trading window set forth above.</w:t>
      </w:r>
    </w:p>
    <w:p>
      <w:pPr>
        <w:spacing w:after="0" w:line="200" w:lineRule="exact"/>
        <w:rPr>
          <w:sz w:val="20"/>
          <w:szCs w:val="20"/>
          <w:color w:val="auto"/>
        </w:rPr>
      </w:pPr>
    </w:p>
    <w:p>
      <w:pPr>
        <w:jc w:val="both"/>
        <w:ind w:left="1520" w:right="20"/>
        <w:spacing w:after="0" w:line="253" w:lineRule="auto"/>
        <w:rPr>
          <w:sz w:val="20"/>
          <w:szCs w:val="20"/>
          <w:color w:val="auto"/>
        </w:rPr>
      </w:pPr>
      <w:r>
        <w:rPr>
          <w:rFonts w:ascii="Verdana" w:cs="Verdana" w:eastAsia="Verdana" w:hAnsi="Verdana"/>
          <w:sz w:val="20"/>
          <w:szCs w:val="20"/>
          <w:color w:val="auto"/>
        </w:rPr>
        <w:t>No officers or employees may alter their instructions regarding the purchase or sale of Company securities in such plans while in the possession of material nonpublic information.</w:t>
      </w:r>
    </w:p>
    <w:p>
      <w:pPr>
        <w:spacing w:after="0" w:line="18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Verdana" w:cs="Verdana" w:eastAsia="Verdana" w:hAnsi="Verdana"/>
          <w:sz w:val="20"/>
          <w:szCs w:val="20"/>
          <w:b w:val="1"/>
          <w:bCs w:val="1"/>
          <w:color w:val="auto"/>
        </w:rPr>
        <w:t>Priority of Statutory or Regulatory Trading Restrictions</w:t>
      </w:r>
    </w:p>
    <w:p>
      <w:pPr>
        <w:spacing w:after="0" w:line="232" w:lineRule="exact"/>
        <w:rPr>
          <w:sz w:val="20"/>
          <w:szCs w:val="20"/>
          <w:color w:val="auto"/>
        </w:rPr>
      </w:pPr>
    </w:p>
    <w:p>
      <w:pPr>
        <w:jc w:val="both"/>
        <w:ind w:left="40"/>
        <w:spacing w:after="0" w:line="243" w:lineRule="auto"/>
        <w:rPr>
          <w:sz w:val="20"/>
          <w:szCs w:val="20"/>
          <w:color w:val="auto"/>
        </w:rPr>
      </w:pPr>
      <w:r>
        <w:rPr>
          <w:rFonts w:ascii="Verdana" w:cs="Verdana" w:eastAsia="Verdana" w:hAnsi="Verdana"/>
          <w:sz w:val="20"/>
          <w:szCs w:val="20"/>
          <w:color w:val="auto"/>
        </w:rPr>
        <w:t>The trading prohibitions and restrictions set forth in this policy will be superseded by any greater prohibitions or restrictions prescribed by federal of state securities laws and regulations, e.g., short-swing trading by Section 16 Individuals or restrictions on the sale of securities subject to Rule 144 under the Securities Act of 1993. Any Insider who is uncertain whether other prohibitions or restrictions apply should ask the Compliance Officer.</w:t>
      </w:r>
    </w:p>
    <w:p>
      <w:pPr>
        <w:spacing w:after="0" w:line="200" w:lineRule="exact"/>
        <w:rPr>
          <w:sz w:val="20"/>
          <w:szCs w:val="20"/>
          <w:color w:val="auto"/>
        </w:rPr>
      </w:pPr>
    </w:p>
    <w:p>
      <w:pPr>
        <w:ind w:left="780" w:hanging="747"/>
        <w:spacing w:after="0"/>
        <w:tabs>
          <w:tab w:leader="none" w:pos="780" w:val="left"/>
        </w:tabs>
        <w:numPr>
          <w:ilvl w:val="0"/>
          <w:numId w:val="48"/>
        </w:numPr>
        <w:rPr>
          <w:rFonts w:ascii="Times New Roman" w:cs="Times New Roman" w:eastAsia="Times New Roman" w:hAnsi="Times New Roman"/>
          <w:sz w:val="20"/>
          <w:szCs w:val="20"/>
          <w:b w:val="1"/>
          <w:bCs w:val="1"/>
          <w:color w:val="auto"/>
        </w:rPr>
      </w:pPr>
      <w:r>
        <w:rPr>
          <w:rFonts w:ascii="Verdana" w:cs="Verdana" w:eastAsia="Verdana" w:hAnsi="Verdana"/>
          <w:sz w:val="20"/>
          <w:szCs w:val="20"/>
          <w:b w:val="1"/>
          <w:bCs w:val="1"/>
          <w:color w:val="auto"/>
        </w:rPr>
        <w:t>Civil and Criminal Penalties</w:t>
      </w:r>
    </w:p>
    <w:p>
      <w:pPr>
        <w:spacing w:after="0" w:line="228" w:lineRule="exact"/>
        <w:rPr>
          <w:sz w:val="20"/>
          <w:szCs w:val="20"/>
          <w:color w:val="auto"/>
        </w:rPr>
      </w:pPr>
    </w:p>
    <w:p>
      <w:pPr>
        <w:jc w:val="both"/>
        <w:ind w:left="40"/>
        <w:spacing w:after="0" w:line="244" w:lineRule="auto"/>
        <w:rPr>
          <w:sz w:val="20"/>
          <w:szCs w:val="20"/>
          <w:color w:val="auto"/>
        </w:rPr>
      </w:pPr>
      <w:r>
        <w:rPr>
          <w:rFonts w:ascii="Verdana" w:cs="Verdana" w:eastAsia="Verdana" w:hAnsi="Verdana"/>
          <w:sz w:val="20"/>
          <w:szCs w:val="20"/>
          <w:color w:val="auto"/>
        </w:rPr>
        <w:t>Violation of insider trading laws could result in civil or criminal penalties under applicable federal securities laws. The SEC and the Department of Justice vigorously pursue alleged violations of the insider trading laws, even in cases where the alleged illegal profit is very small. The sanctions for individuals who trade on inside information (or tip information to others) include:</w:t>
      </w:r>
    </w:p>
    <w:p>
      <w:pPr>
        <w:spacing w:after="0" w:line="200" w:lineRule="exact"/>
        <w:rPr>
          <w:sz w:val="20"/>
          <w:szCs w:val="20"/>
          <w:color w:val="auto"/>
        </w:rPr>
      </w:pPr>
    </w:p>
    <w:p>
      <w:pPr>
        <w:ind w:left="1540" w:hanging="758"/>
        <w:spacing w:after="0"/>
        <w:tabs>
          <w:tab w:leader="none" w:pos="1540" w:val="left"/>
        </w:tabs>
        <w:numPr>
          <w:ilvl w:val="0"/>
          <w:numId w:val="49"/>
        </w:numPr>
        <w:rPr>
          <w:rFonts w:ascii="Times New Roman" w:cs="Times New Roman" w:eastAsia="Times New Roman" w:hAnsi="Times New Roman"/>
          <w:sz w:val="20"/>
          <w:szCs w:val="20"/>
          <w:color w:val="auto"/>
        </w:rPr>
      </w:pPr>
      <w:r>
        <w:rPr>
          <w:rFonts w:ascii="Verdana" w:cs="Verdana" w:eastAsia="Verdana" w:hAnsi="Verdana"/>
          <w:sz w:val="20"/>
          <w:szCs w:val="20"/>
          <w:color w:val="auto"/>
        </w:rPr>
        <w:t>A civil penalty of up to three times the profit gained or loss avoided;</w:t>
      </w:r>
    </w:p>
    <w:p>
      <w:pPr>
        <w:spacing w:after="0" w:line="228" w:lineRule="exact"/>
        <w:rPr>
          <w:rFonts w:ascii="Times New Roman" w:cs="Times New Roman" w:eastAsia="Times New Roman" w:hAnsi="Times New Roman"/>
          <w:sz w:val="20"/>
          <w:szCs w:val="20"/>
          <w:color w:val="auto"/>
        </w:rPr>
      </w:pPr>
    </w:p>
    <w:p>
      <w:pPr>
        <w:ind w:left="1520" w:hanging="738"/>
        <w:spacing w:after="0"/>
        <w:tabs>
          <w:tab w:leader="none" w:pos="1520" w:val="left"/>
        </w:tabs>
        <w:numPr>
          <w:ilvl w:val="0"/>
          <w:numId w:val="49"/>
        </w:numPr>
        <w:rPr>
          <w:rFonts w:ascii="Times New Roman" w:cs="Times New Roman" w:eastAsia="Times New Roman" w:hAnsi="Times New Roman"/>
          <w:sz w:val="20"/>
          <w:szCs w:val="20"/>
          <w:color w:val="auto"/>
        </w:rPr>
      </w:pPr>
      <w:r>
        <w:rPr>
          <w:rFonts w:ascii="Verdana" w:cs="Verdana" w:eastAsia="Verdana" w:hAnsi="Verdana"/>
          <w:sz w:val="20"/>
          <w:szCs w:val="20"/>
          <w:color w:val="auto"/>
        </w:rPr>
        <w:t>A criminal fine (no matter how small the profit) of up to $5 million ($25 million for an entity);</w:t>
      </w:r>
    </w:p>
    <w:p>
      <w:pPr>
        <w:spacing w:after="0" w:line="228" w:lineRule="exact"/>
        <w:rPr>
          <w:rFonts w:ascii="Times New Roman" w:cs="Times New Roman" w:eastAsia="Times New Roman" w:hAnsi="Times New Roman"/>
          <w:sz w:val="20"/>
          <w:szCs w:val="20"/>
          <w:color w:val="auto"/>
        </w:rPr>
      </w:pPr>
    </w:p>
    <w:p>
      <w:pPr>
        <w:ind w:left="1540" w:hanging="758"/>
        <w:spacing w:after="0"/>
        <w:tabs>
          <w:tab w:leader="none" w:pos="1540" w:val="left"/>
        </w:tabs>
        <w:numPr>
          <w:ilvl w:val="0"/>
          <w:numId w:val="49"/>
        </w:numPr>
        <w:rPr>
          <w:rFonts w:ascii="Times New Roman" w:cs="Times New Roman" w:eastAsia="Times New Roman" w:hAnsi="Times New Roman"/>
          <w:sz w:val="20"/>
          <w:szCs w:val="20"/>
          <w:color w:val="auto"/>
        </w:rPr>
      </w:pPr>
      <w:r>
        <w:rPr>
          <w:rFonts w:ascii="Verdana" w:cs="Verdana" w:eastAsia="Verdana" w:hAnsi="Verdana"/>
          <w:sz w:val="20"/>
          <w:szCs w:val="20"/>
          <w:color w:val="auto"/>
        </w:rPr>
        <w:t>A jail term of up to twenty years; and</w:t>
      </w:r>
    </w:p>
    <w:p>
      <w:pPr>
        <w:spacing w:after="0" w:line="228" w:lineRule="exact"/>
        <w:rPr>
          <w:rFonts w:ascii="Times New Roman" w:cs="Times New Roman" w:eastAsia="Times New Roman" w:hAnsi="Times New Roman"/>
          <w:sz w:val="20"/>
          <w:szCs w:val="20"/>
          <w:color w:val="auto"/>
        </w:rPr>
      </w:pPr>
    </w:p>
    <w:p>
      <w:pPr>
        <w:ind w:left="1520" w:hanging="738"/>
        <w:spacing w:after="0"/>
        <w:tabs>
          <w:tab w:leader="none" w:pos="1520" w:val="left"/>
        </w:tabs>
        <w:numPr>
          <w:ilvl w:val="0"/>
          <w:numId w:val="49"/>
        </w:numPr>
        <w:rPr>
          <w:rFonts w:ascii="Times New Roman" w:cs="Times New Roman" w:eastAsia="Times New Roman" w:hAnsi="Times New Roman"/>
          <w:sz w:val="20"/>
          <w:szCs w:val="20"/>
          <w:color w:val="auto"/>
        </w:rPr>
      </w:pPr>
      <w:r>
        <w:rPr>
          <w:rFonts w:ascii="Verdana" w:cs="Verdana" w:eastAsia="Verdana" w:hAnsi="Verdana"/>
          <w:sz w:val="20"/>
          <w:szCs w:val="20"/>
          <w:color w:val="auto"/>
        </w:rPr>
        <w:t>A temporary or permanent ban from serving as an officer or director of any public company.</w:t>
      </w:r>
    </w:p>
    <w:p>
      <w:pPr>
        <w:spacing w:after="0" w:line="228" w:lineRule="exact"/>
        <w:rPr>
          <w:sz w:val="20"/>
          <w:szCs w:val="20"/>
          <w:color w:val="auto"/>
        </w:rPr>
      </w:pPr>
    </w:p>
    <w:p>
      <w:pPr>
        <w:ind w:left="40"/>
        <w:spacing w:after="0" w:line="253" w:lineRule="auto"/>
        <w:rPr>
          <w:sz w:val="20"/>
          <w:szCs w:val="20"/>
          <w:color w:val="auto"/>
        </w:rPr>
      </w:pPr>
      <w:r>
        <w:rPr>
          <w:rFonts w:ascii="Verdana" w:cs="Verdana" w:eastAsia="Verdana" w:hAnsi="Verdana"/>
          <w:sz w:val="20"/>
          <w:szCs w:val="20"/>
          <w:color w:val="auto"/>
        </w:rPr>
        <w:t>Insider trading violations can also expose a company (and possibly supervisory personnel) to civil and criminal liability.</w:t>
      </w:r>
    </w:p>
    <w:p>
      <w:pPr>
        <w:spacing w:after="0" w:line="18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XI.</w:t>
      </w:r>
      <w:r>
        <w:rPr>
          <w:sz w:val="20"/>
          <w:szCs w:val="20"/>
          <w:color w:val="auto"/>
        </w:rPr>
        <w:tab/>
      </w:r>
      <w:r>
        <w:rPr>
          <w:rFonts w:ascii="Verdana" w:cs="Verdana" w:eastAsia="Verdana" w:hAnsi="Verdana"/>
          <w:sz w:val="20"/>
          <w:szCs w:val="20"/>
          <w:b w:val="1"/>
          <w:bCs w:val="1"/>
          <w:color w:val="auto"/>
        </w:rPr>
        <w:t>Company Discipline</w:t>
      </w:r>
    </w:p>
    <w:p>
      <w:pPr>
        <w:spacing w:after="0" w:line="232" w:lineRule="exact"/>
        <w:rPr>
          <w:sz w:val="20"/>
          <w:szCs w:val="20"/>
          <w:color w:val="auto"/>
        </w:rPr>
      </w:pPr>
    </w:p>
    <w:p>
      <w:pPr>
        <w:ind w:left="40"/>
        <w:spacing w:after="0" w:line="253" w:lineRule="auto"/>
        <w:rPr>
          <w:sz w:val="20"/>
          <w:szCs w:val="20"/>
          <w:color w:val="auto"/>
        </w:rPr>
      </w:pPr>
      <w:r>
        <w:rPr>
          <w:rFonts w:ascii="Verdana" w:cs="Verdana" w:eastAsia="Verdana" w:hAnsi="Verdana"/>
          <w:sz w:val="20"/>
          <w:szCs w:val="20"/>
          <w:color w:val="auto"/>
        </w:rPr>
        <w:t>Violation of this policy or federal or state insider trading or tipping laws by any director, officer or employee of the Company, or their family members, may subject</w:t>
      </w:r>
    </w:p>
    <w:p>
      <w:pPr>
        <w:spacing w:after="0" w:line="244" w:lineRule="exact"/>
        <w:rPr>
          <w:sz w:val="20"/>
          <w:szCs w:val="20"/>
          <w:color w:val="auto"/>
        </w:rPr>
      </w:pPr>
    </w:p>
    <w:p>
      <w:pPr>
        <w:spacing w:after="0"/>
        <w:rPr>
          <w:sz w:val="20"/>
          <w:szCs w:val="20"/>
          <w:color w:val="auto"/>
        </w:rPr>
      </w:pPr>
      <w:r>
        <w:rPr>
          <w:rFonts w:ascii="Verdana" w:cs="Verdana" w:eastAsia="Verdana" w:hAnsi="Verdana"/>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807720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92" w:name="page93"/>
    <w:bookmarkEnd w:id="92"/>
    <w:p>
      <w:pPr>
        <w:spacing w:after="0" w:line="94" w:lineRule="exact"/>
        <w:rPr>
          <w:sz w:val="20"/>
          <w:szCs w:val="20"/>
          <w:color w:val="auto"/>
        </w:rPr>
      </w:pPr>
    </w:p>
    <w:p>
      <w:pPr>
        <w:jc w:val="both"/>
        <w:ind w:left="40" w:right="80"/>
        <w:spacing w:after="0" w:line="253" w:lineRule="auto"/>
        <w:rPr>
          <w:sz w:val="20"/>
          <w:szCs w:val="20"/>
          <w:color w:val="auto"/>
        </w:rPr>
      </w:pPr>
      <w:r>
        <w:rPr>
          <w:rFonts w:ascii="Verdana" w:cs="Verdana" w:eastAsia="Verdana" w:hAnsi="Verdana"/>
          <w:sz w:val="20"/>
          <w:szCs w:val="20"/>
          <w:color w:val="auto"/>
        </w:rPr>
        <w:t>the director to dismissal proceedings and the officer or employee to disciplinary action by the Company up to and including termination.</w:t>
      </w:r>
    </w:p>
    <w:p>
      <w:pPr>
        <w:spacing w:after="0" w:line="18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XII.</w:t>
      </w:r>
      <w:r>
        <w:rPr>
          <w:sz w:val="20"/>
          <w:szCs w:val="20"/>
          <w:color w:val="auto"/>
        </w:rPr>
        <w:tab/>
      </w:r>
      <w:r>
        <w:rPr>
          <w:rFonts w:ascii="Verdana" w:cs="Verdana" w:eastAsia="Verdana" w:hAnsi="Verdana"/>
          <w:sz w:val="20"/>
          <w:szCs w:val="20"/>
          <w:b w:val="1"/>
          <w:bCs w:val="1"/>
          <w:color w:val="auto"/>
        </w:rPr>
        <w:t>Reporting of Violations</w:t>
      </w:r>
    </w:p>
    <w:p>
      <w:pPr>
        <w:spacing w:after="0" w:line="232" w:lineRule="exact"/>
        <w:rPr>
          <w:sz w:val="20"/>
          <w:szCs w:val="20"/>
          <w:color w:val="auto"/>
        </w:rPr>
      </w:pPr>
    </w:p>
    <w:p>
      <w:pPr>
        <w:jc w:val="both"/>
        <w:ind w:left="40" w:right="80"/>
        <w:spacing w:after="0" w:line="242" w:lineRule="auto"/>
        <w:rPr>
          <w:sz w:val="20"/>
          <w:szCs w:val="20"/>
          <w:color w:val="auto"/>
        </w:rPr>
      </w:pPr>
      <w:r>
        <w:rPr>
          <w:rFonts w:ascii="Verdana" w:cs="Verdana" w:eastAsia="Verdana" w:hAnsi="Verdana"/>
          <w:sz w:val="20"/>
          <w:szCs w:val="20"/>
          <w:color w:val="auto"/>
        </w:rPr>
        <w:t>Any insider who violates this policy or any federal or state laws governing insider trading or tipping, or knows of any such violation by any other Insiders, must report the violation immediately to the Compliance Officer or the Company’s ethics hotline, which can be reached at (877) 279-7436 or securityvoice.com/reports. Upon receiving a report of any such violation, the Compliance Officer, in consultation with the other Compliance Committee members and the Company’s legal counsel, will determine whether the Company should release any material nonpublic information, or whether the Company should report the violation to the SEC or other appropriate governmental authority.</w:t>
      </w:r>
    </w:p>
    <w:p>
      <w:pPr>
        <w:spacing w:after="0" w:line="198"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XIII.</w:t>
      </w:r>
      <w:r>
        <w:rPr>
          <w:sz w:val="20"/>
          <w:szCs w:val="20"/>
          <w:color w:val="auto"/>
        </w:rPr>
        <w:tab/>
      </w:r>
      <w:r>
        <w:rPr>
          <w:rFonts w:ascii="Verdana" w:cs="Verdana" w:eastAsia="Verdana" w:hAnsi="Verdana"/>
          <w:sz w:val="20"/>
          <w:szCs w:val="20"/>
          <w:b w:val="1"/>
          <w:bCs w:val="1"/>
          <w:color w:val="auto"/>
        </w:rPr>
        <w:t>Individual Responsibility</w:t>
      </w:r>
    </w:p>
    <w:p>
      <w:pPr>
        <w:spacing w:after="0" w:line="232" w:lineRule="exact"/>
        <w:rPr>
          <w:sz w:val="20"/>
          <w:szCs w:val="20"/>
          <w:color w:val="auto"/>
        </w:rPr>
      </w:pPr>
    </w:p>
    <w:p>
      <w:pPr>
        <w:ind w:left="40" w:right="180"/>
        <w:spacing w:after="0" w:line="242" w:lineRule="auto"/>
        <w:rPr>
          <w:sz w:val="20"/>
          <w:szCs w:val="20"/>
          <w:color w:val="auto"/>
        </w:rPr>
      </w:pPr>
      <w:r>
        <w:rPr>
          <w:rFonts w:ascii="Verdana" w:cs="Verdana" w:eastAsia="Verdana" w:hAnsi="Verdana"/>
          <w:sz w:val="20"/>
          <w:szCs w:val="20"/>
          <w:color w:val="auto"/>
        </w:rPr>
        <w:t>Each individual is responsible for making sure that he or she complies with this policy, and that any family member, household member or entity whose transactions are subject to this policy, as discussed herein, also comply with this policy. In all cases, the responsibility for determining whether an individual is in possession of material nonpublic information rests with that individual, and any action on the part of the Company, the Compliance Committee, the Compliance Officer or any other employee pursuant to this policy (or otherwise) does not in any way constitute legal advice or insulate an individual from liability under applicable securities laws.</w:t>
      </w:r>
    </w:p>
    <w:p>
      <w:pPr>
        <w:spacing w:after="0" w:line="198"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XIV.</w:t>
      </w:r>
      <w:r>
        <w:rPr>
          <w:sz w:val="20"/>
          <w:szCs w:val="20"/>
          <w:color w:val="auto"/>
        </w:rPr>
        <w:tab/>
      </w:r>
      <w:r>
        <w:rPr>
          <w:rFonts w:ascii="Verdana" w:cs="Verdana" w:eastAsia="Verdana" w:hAnsi="Verdana"/>
          <w:sz w:val="20"/>
          <w:szCs w:val="20"/>
          <w:b w:val="1"/>
          <w:bCs w:val="1"/>
          <w:color w:val="auto"/>
        </w:rPr>
        <w:t>Administration</w:t>
      </w:r>
    </w:p>
    <w:p>
      <w:pPr>
        <w:spacing w:after="0" w:line="232" w:lineRule="exact"/>
        <w:rPr>
          <w:sz w:val="20"/>
          <w:szCs w:val="20"/>
          <w:color w:val="auto"/>
        </w:rPr>
      </w:pPr>
    </w:p>
    <w:p>
      <w:pPr>
        <w:jc w:val="both"/>
        <w:ind w:left="40" w:right="80"/>
        <w:spacing w:after="0" w:line="244" w:lineRule="auto"/>
        <w:rPr>
          <w:sz w:val="20"/>
          <w:szCs w:val="20"/>
          <w:color w:val="auto"/>
        </w:rPr>
      </w:pPr>
      <w:r>
        <w:rPr>
          <w:rFonts w:ascii="Verdana" w:cs="Verdana" w:eastAsia="Verdana" w:hAnsi="Verdana"/>
          <w:sz w:val="20"/>
          <w:szCs w:val="20"/>
          <w:color w:val="auto"/>
        </w:rPr>
        <w:t xml:space="preserve">This policy shall be reviewed and approved annually by the Nominating and Governance Committee and this policy shall be maintained by the legal department of the Company. The Company will amend </w:t>
      </w:r>
      <w:r>
        <w:rPr>
          <w:rFonts w:ascii="Verdana" w:cs="Verdana" w:eastAsia="Verdana" w:hAnsi="Verdana"/>
          <w:sz w:val="20"/>
          <w:szCs w:val="20"/>
          <w:u w:val="single" w:color="auto"/>
          <w:color w:val="auto"/>
        </w:rPr>
        <w:t>Attachment A</w:t>
      </w:r>
      <w:r>
        <w:rPr>
          <w:rFonts w:ascii="Verdana" w:cs="Verdana" w:eastAsia="Verdana" w:hAnsi="Verdana"/>
          <w:sz w:val="20"/>
          <w:szCs w:val="20"/>
          <w:color w:val="auto"/>
        </w:rPr>
        <w:t xml:space="preserve"> from time to time as necessary to reflect the addition, resignation or departure of Section 16 Individuals. Such amendment to </w:t>
      </w:r>
      <w:r>
        <w:rPr>
          <w:rFonts w:ascii="Verdana" w:cs="Verdana" w:eastAsia="Verdana" w:hAnsi="Verdana"/>
          <w:sz w:val="20"/>
          <w:szCs w:val="20"/>
          <w:u w:val="single" w:color="auto"/>
          <w:color w:val="auto"/>
        </w:rPr>
        <w:t>Attachment A</w:t>
      </w:r>
      <w:r>
        <w:rPr>
          <w:rFonts w:ascii="Verdana" w:cs="Verdana" w:eastAsia="Verdana" w:hAnsi="Verdana"/>
          <w:sz w:val="20"/>
          <w:szCs w:val="20"/>
          <w:color w:val="auto"/>
        </w:rPr>
        <w:t xml:space="preserve"> does not require approval of the Board of Directors.</w:t>
      </w:r>
    </w:p>
    <w:p>
      <w:pPr>
        <w:spacing w:after="0" w:line="19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XV.</w:t>
      </w:r>
      <w:r>
        <w:rPr>
          <w:sz w:val="20"/>
          <w:szCs w:val="20"/>
          <w:color w:val="auto"/>
        </w:rPr>
        <w:tab/>
      </w:r>
      <w:r>
        <w:rPr>
          <w:rFonts w:ascii="Verdana" w:cs="Verdana" w:eastAsia="Verdana" w:hAnsi="Verdana"/>
          <w:sz w:val="20"/>
          <w:szCs w:val="20"/>
          <w:b w:val="1"/>
          <w:bCs w:val="1"/>
          <w:color w:val="auto"/>
        </w:rPr>
        <w:t>Inquiries</w:t>
      </w:r>
    </w:p>
    <w:p>
      <w:pPr>
        <w:spacing w:after="0" w:line="232" w:lineRule="exact"/>
        <w:rPr>
          <w:sz w:val="20"/>
          <w:szCs w:val="20"/>
          <w:color w:val="auto"/>
        </w:rPr>
      </w:pPr>
    </w:p>
    <w:p>
      <w:pPr>
        <w:ind w:left="40"/>
        <w:spacing w:after="0"/>
        <w:rPr>
          <w:sz w:val="20"/>
          <w:szCs w:val="20"/>
          <w:color w:val="auto"/>
        </w:rPr>
      </w:pPr>
      <w:r>
        <w:rPr>
          <w:rFonts w:ascii="Verdana" w:cs="Verdana" w:eastAsia="Verdana" w:hAnsi="Verdana"/>
          <w:sz w:val="19"/>
          <w:szCs w:val="19"/>
          <w:color w:val="auto"/>
        </w:rPr>
        <w:t>Please direct all inquiries regarding any of the provisions or procedures of this policy to the Compliance Officer.</w:t>
      </w:r>
    </w:p>
    <w:p>
      <w:pPr>
        <w:spacing w:after="0" w:line="269" w:lineRule="exact"/>
        <w:rPr>
          <w:sz w:val="20"/>
          <w:szCs w:val="20"/>
          <w:color w:val="auto"/>
        </w:rPr>
      </w:pPr>
    </w:p>
    <w:p>
      <w:pPr>
        <w:spacing w:after="0"/>
        <w:rPr>
          <w:sz w:val="20"/>
          <w:szCs w:val="20"/>
          <w:color w:val="auto"/>
        </w:rPr>
      </w:pPr>
      <w:r>
        <w:rPr>
          <w:rFonts w:ascii="Verdana" w:cs="Verdana" w:eastAsia="Verdana" w:hAnsi="Verdana"/>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816610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1440" w:right="3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6100" w:type="dxa"/>
            <w:vAlign w:val="bottom"/>
          </w:tcPr>
          <w:p>
            <w:pPr>
              <w:ind w:left="5240"/>
              <w:spacing w:after="0"/>
              <w:rPr>
                <w:sz w:val="20"/>
                <w:szCs w:val="20"/>
                <w:color w:val="auto"/>
              </w:rPr>
            </w:pPr>
            <w:r>
              <w:rPr>
                <w:rFonts w:ascii="Times New Roman" w:cs="Times New Roman" w:eastAsia="Times New Roman" w:hAnsi="Times New Roman"/>
                <w:sz w:val="16"/>
                <w:szCs w:val="16"/>
                <w:color w:val="auto"/>
                <w:w w:val="99"/>
              </w:rPr>
              <w:t>EXHIBIT 21</w:t>
            </w:r>
          </w:p>
        </w:tc>
      </w:tr>
      <w:tr>
        <w:trPr>
          <w:trHeight w:val="418"/>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Subsidiaries of Hub Group, Inc.</w:t>
            </w:r>
          </w:p>
        </w:tc>
        <w:tc>
          <w:tcPr>
            <w:tcW w:w="6100" w:type="dxa"/>
            <w:vAlign w:val="bottom"/>
          </w:tcPr>
          <w:p>
            <w:pPr>
              <w:spacing w:after="0"/>
              <w:rPr>
                <w:sz w:val="24"/>
                <w:szCs w:val="24"/>
                <w:color w:val="auto"/>
              </w:rPr>
            </w:pPr>
          </w:p>
        </w:tc>
      </w:tr>
      <w:tr>
        <w:trPr>
          <w:trHeight w:val="4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JURISDICTION OF INCORPORATION/ORGANIZATION</w:t>
            </w:r>
          </w:p>
        </w:tc>
      </w:tr>
      <w:tr>
        <w:trPr>
          <w:trHeight w:val="41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City Terminals, Inc.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Atlanta,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Associates, Inc.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Chicago Holdings, Inc.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Transport,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Freight Services, Inc.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Trucking, Inc.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HGNA Group de Mexico, S. de RL de C.V.</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Canada Inc.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Ontario</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Dedicated,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Global,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Quality Services, LLC</w:t>
            </w:r>
          </w:p>
        </w:tc>
        <w:tc>
          <w:tcPr>
            <w:tcW w:w="6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Trucking California,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Choptank Transport,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Choptank Leasing,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 Assurance, Inc.</w:t>
            </w:r>
          </w:p>
        </w:tc>
        <w:tc>
          <w:tcPr>
            <w:tcW w:w="6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Vermont</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TAGG Holdco, LLC</w:t>
            </w:r>
          </w:p>
        </w:tc>
        <w:tc>
          <w:tcPr>
            <w:tcW w:w="6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TAGG Logistics, LLC</w:t>
            </w:r>
          </w:p>
        </w:tc>
        <w:tc>
          <w:tcPr>
            <w:tcW w:w="6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LeSaint Logistics, LLC</w:t>
            </w:r>
          </w:p>
        </w:tc>
        <w:tc>
          <w:tcPr>
            <w:tcW w:w="6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TAGG Nevada, LLC</w:t>
            </w:r>
          </w:p>
        </w:tc>
        <w:tc>
          <w:tcPr>
            <w:tcW w:w="61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HGI Hub City Technologies Private Limited</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 Group Final Mile,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FFM, LLC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Corporación Interamericana de Logística, S.A. de C.V.</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EASO-Hub, S.A. de C.V.</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Zig Zag Logistics, Inc.</w:t>
            </w:r>
          </w:p>
        </w:tc>
        <w:tc>
          <w:tcPr>
            <w:tcW w:w="61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California</w:t>
            </w:r>
          </w:p>
        </w:tc>
      </w:tr>
      <w:tr>
        <w:trPr>
          <w:trHeight w:val="1195"/>
        </w:trPr>
        <w:tc>
          <w:tcPr>
            <w:tcW w:w="514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6"/>
          <w:szCs w:val="16"/>
          <w:color w:val="auto"/>
        </w:rPr>
        <w:t>EXHIBIT 23.1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329"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333-218509 pertaining to the Hub Group, Inc. 2017 Long-Term Incentive Plan,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333-265830 pertaining to the Hub Group, Inc. 2022 Long-Term Incentive Plan,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333-107745 pertaining to the Hub Group Employee Profit Sharing Plan and Trust;</w:t>
      </w:r>
    </w:p>
    <w:p>
      <w:pPr>
        <w:spacing w:after="0" w:line="22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of our reports dated February 25, 2025, with respect to the consolidated financial statements and schedule of Hub Group, Inc., and the effectiveness of internal control over financial reporting of Hub Group, Inc., included in this Annual Report (Form 10-K) of Hub Group, Inc. for the year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1151890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Phillip D. Yeager, certify that:</w:t>
      </w:r>
    </w:p>
    <w:p>
      <w:pPr>
        <w:spacing w:after="0" w:line="127"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10-K of Hub Group, Inc.;</w:t>
      </w:r>
    </w:p>
    <w:p>
      <w:pPr>
        <w:spacing w:after="0" w:line="126" w:lineRule="exact"/>
        <w:rPr>
          <w:rFonts w:ascii="Times New Roman" w:cs="Times New Roman" w:eastAsia="Times New Roman" w:hAnsi="Times New Roman"/>
          <w:sz w:val="16"/>
          <w:szCs w:val="16"/>
          <w:color w:val="auto"/>
        </w:rPr>
      </w:pPr>
    </w:p>
    <w:p>
      <w:pPr>
        <w:ind w:left="380" w:hanging="372"/>
        <w:spacing w:after="0" w:line="298" w:lineRule="auto"/>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16"/>
          <w:szCs w:val="16"/>
          <w:color w:val="auto"/>
        </w:rPr>
      </w:pPr>
    </w:p>
    <w:p>
      <w:pPr>
        <w:ind w:left="380" w:hanging="372"/>
        <w:spacing w:after="0" w:line="298" w:lineRule="auto"/>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18" w:lineRule="exact"/>
        <w:rPr>
          <w:rFonts w:ascii="Times New Roman" w:cs="Times New Roman" w:eastAsia="Times New Roman" w:hAnsi="Times New Roman"/>
          <w:sz w:val="16"/>
          <w:szCs w:val="16"/>
          <w:color w:val="auto"/>
        </w:rPr>
      </w:pPr>
    </w:p>
    <w:p>
      <w:pPr>
        <w:jc w:val="both"/>
        <w:ind w:left="1140" w:hanging="383"/>
        <w:spacing w:after="0" w:line="281" w:lineRule="auto"/>
        <w:tabs>
          <w:tab w:leader="none" w:pos="114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jc w:val="both"/>
        <w:ind w:left="1140" w:hanging="383"/>
        <w:spacing w:after="0" w:line="281" w:lineRule="auto"/>
        <w:tabs>
          <w:tab w:leader="none" w:pos="114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ind w:left="1140" w:hanging="383"/>
        <w:spacing w:after="0" w:line="298" w:lineRule="auto"/>
        <w:tabs>
          <w:tab w:leader="none" w:pos="114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140" w:hanging="383"/>
        <w:spacing w:after="0" w:line="298" w:lineRule="auto"/>
        <w:tabs>
          <w:tab w:leader="none" w:pos="114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6" w:lineRule="exact"/>
        <w:rPr>
          <w:rFonts w:ascii="Times New Roman" w:cs="Times New Roman" w:eastAsia="Times New Roman" w:hAnsi="Times New Roman"/>
          <w:sz w:val="16"/>
          <w:szCs w:val="16"/>
          <w:color w:val="auto"/>
        </w:rPr>
      </w:pPr>
    </w:p>
    <w:p>
      <w:pPr>
        <w:ind w:left="1140" w:hanging="383"/>
        <w:spacing w:after="0" w:line="298" w:lineRule="auto"/>
        <w:tabs>
          <w:tab w:leader="none" w:pos="114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1140" w:right="20" w:hanging="383"/>
        <w:spacing w:after="0" w:line="298" w:lineRule="auto"/>
        <w:tabs>
          <w:tab w:leader="none" w:pos="114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25, 2025</w:t>
      </w:r>
    </w:p>
    <w:p>
      <w:pPr>
        <w:spacing w:after="0" w:line="2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 Phillip D. Yeager</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39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Phillip D. Yeager</w:t>
            </w:r>
          </w:p>
        </w:tc>
      </w:tr>
      <w:tr>
        <w:trPr>
          <w:trHeight w:val="202"/>
        </w:trPr>
        <w:tc>
          <w:tcPr>
            <w:tcW w:w="67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Vice Chairman of the Board of Directors, President and</w:t>
            </w:r>
          </w:p>
        </w:tc>
      </w:tr>
      <w:tr>
        <w:trPr>
          <w:trHeight w:val="210"/>
        </w:trPr>
        <w:tc>
          <w:tcPr>
            <w:tcW w:w="6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1201"/>
        </w:trPr>
        <w:tc>
          <w:tcPr>
            <w:tcW w:w="6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color w:val="auto"/>
        </w:rPr>
        <w:t>EXHIBIT 31.2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Kevin W. Beth, certify that:</w:t>
      </w:r>
    </w:p>
    <w:p>
      <w:pPr>
        <w:spacing w:after="0" w:line="127"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10-K of Hub Group, Inc.;</w:t>
      </w:r>
    </w:p>
    <w:p>
      <w:pPr>
        <w:spacing w:after="0" w:line="126" w:lineRule="exact"/>
        <w:rPr>
          <w:rFonts w:ascii="Times New Roman" w:cs="Times New Roman" w:eastAsia="Times New Roman" w:hAnsi="Times New Roman"/>
          <w:sz w:val="16"/>
          <w:szCs w:val="16"/>
          <w:color w:val="auto"/>
        </w:rPr>
      </w:pPr>
    </w:p>
    <w:p>
      <w:pPr>
        <w:ind w:left="380" w:hanging="372"/>
        <w:spacing w:after="0" w:line="298" w:lineRule="auto"/>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16"/>
          <w:szCs w:val="16"/>
          <w:color w:val="auto"/>
        </w:rPr>
      </w:pPr>
    </w:p>
    <w:p>
      <w:pPr>
        <w:ind w:left="380" w:hanging="372"/>
        <w:spacing w:after="0" w:line="298" w:lineRule="auto"/>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18" w:lineRule="exact"/>
        <w:rPr>
          <w:rFonts w:ascii="Times New Roman" w:cs="Times New Roman" w:eastAsia="Times New Roman" w:hAnsi="Times New Roman"/>
          <w:sz w:val="16"/>
          <w:szCs w:val="16"/>
          <w:color w:val="auto"/>
        </w:rPr>
      </w:pPr>
    </w:p>
    <w:p>
      <w:pPr>
        <w:jc w:val="both"/>
        <w:ind w:left="1140" w:hanging="383"/>
        <w:spacing w:after="0" w:line="281" w:lineRule="auto"/>
        <w:tabs>
          <w:tab w:leader="none" w:pos="11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jc w:val="both"/>
        <w:ind w:left="1140" w:hanging="383"/>
        <w:spacing w:after="0" w:line="281" w:lineRule="auto"/>
        <w:tabs>
          <w:tab w:leader="none" w:pos="11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ind w:left="1140" w:hanging="383"/>
        <w:spacing w:after="0" w:line="298" w:lineRule="auto"/>
        <w:tabs>
          <w:tab w:leader="none" w:pos="11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140" w:hanging="383"/>
        <w:spacing w:after="0" w:line="298" w:lineRule="auto"/>
        <w:tabs>
          <w:tab w:leader="none" w:pos="11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3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6" w:lineRule="exact"/>
        <w:rPr>
          <w:rFonts w:ascii="Times New Roman" w:cs="Times New Roman" w:eastAsia="Times New Roman" w:hAnsi="Times New Roman"/>
          <w:sz w:val="16"/>
          <w:szCs w:val="16"/>
          <w:color w:val="auto"/>
        </w:rPr>
      </w:pPr>
    </w:p>
    <w:p>
      <w:pPr>
        <w:ind w:left="1140" w:hanging="383"/>
        <w:spacing w:after="0" w:line="298" w:lineRule="auto"/>
        <w:tabs>
          <w:tab w:leader="none" w:pos="11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1140" w:right="20" w:hanging="383"/>
        <w:spacing w:after="0" w:line="298" w:lineRule="auto"/>
        <w:tabs>
          <w:tab w:leader="none" w:pos="11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25, 2025</w:t>
      </w:r>
    </w:p>
    <w:p>
      <w:pPr>
        <w:spacing w:after="0" w:line="2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 Kevin W. Beth</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39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Kevin W. Beth</w:t>
            </w:r>
          </w:p>
        </w:tc>
      </w:tr>
      <w:tr>
        <w:trPr>
          <w:trHeight w:val="203"/>
        </w:trPr>
        <w:tc>
          <w:tcPr>
            <w:tcW w:w="676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Financial</w:t>
            </w:r>
          </w:p>
        </w:tc>
      </w:tr>
      <w:tr>
        <w:trPr>
          <w:trHeight w:val="203"/>
        </w:trPr>
        <w:tc>
          <w:tcPr>
            <w:tcW w:w="6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Officer and Treasurer (Principal Financial</w:t>
            </w:r>
          </w:p>
        </w:tc>
      </w:tr>
      <w:tr>
        <w:trPr>
          <w:trHeight w:val="210"/>
        </w:trPr>
        <w:tc>
          <w:tcPr>
            <w:tcW w:w="6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Officer)</w:t>
            </w:r>
          </w:p>
        </w:tc>
      </w:tr>
      <w:tr>
        <w:trPr>
          <w:trHeight w:val="1201"/>
        </w:trPr>
        <w:tc>
          <w:tcPr>
            <w:tcW w:w="6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Certification Pursuant to Section 906 of the Sarbanes-Oxley Act of 2002</w:t>
      </w:r>
    </w:p>
    <w:p>
      <w:pPr>
        <w:spacing w:after="0" w:line="2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following statement is provided by the undersigned to accompany the Annual Report on Form 10-K for the year ended December 31, 2024 of Hub Group, Inc. pursuant to Section 906 of the Sarbanes-Oxley Act of 2002 (18 U.S.C. 1350) and shall not be deemed filed pursuant to any provision of the Exchange Act of 1934 or any other securities law.</w:t>
      </w:r>
    </w:p>
    <w:p>
      <w:pPr>
        <w:spacing w:after="0" w:line="17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Each of the undersigned certifies that the foregoing Report on Form 10-K fully complies with the requirements of Section 13(a) of the Securities Exchange Act of 1934 (15 U.S.C. 78m) and that the information contained in the Form 10-K fairly presents, in all material respects, the financial condition and results of operations of Hub Group, Inc.</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25, 2025</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445"/>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/s/Phillip D. Yeager</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/s/Kevin W. Beth</w:t>
            </w:r>
          </w:p>
        </w:tc>
      </w:tr>
      <w:tr>
        <w:trPr>
          <w:trHeight w:val="188"/>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Phillip D. Yeager</w:t>
            </w:r>
          </w:p>
        </w:tc>
        <w:tc>
          <w:tcPr>
            <w:tcW w:w="22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Kevin W. Beth</w:t>
            </w:r>
          </w:p>
        </w:tc>
      </w:t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 (Principal</w:t>
            </w: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Chairman of the Board of Directors, President and Chief Executive Officer</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Officer)</w:t>
            </w:r>
          </w:p>
        </w:tc>
      </w:tr>
      <w:tr>
        <w:trPr>
          <w:trHeight w:val="1430"/>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8" w:name="page99"/>
    <w:bookmarkEnd w:id="98"/>
    <w:p>
      <w:pPr>
        <w:jc w:val="right"/>
        <w:spacing w:after="0"/>
        <w:rPr>
          <w:sz w:val="20"/>
          <w:szCs w:val="20"/>
          <w:color w:val="auto"/>
        </w:rPr>
      </w:pPr>
      <w:r>
        <w:rPr>
          <w:rFonts w:ascii="Verdana" w:cs="Verdana" w:eastAsia="Verdana" w:hAnsi="Verdana"/>
          <w:sz w:val="14"/>
          <w:szCs w:val="14"/>
          <w:color w:val="auto"/>
        </w:rPr>
        <w:t>Effective as of November 30, 2023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HUB GROUP, INC. (THE “COMPANY”)</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COMPENSATION CLAWBACK POLICY</w:t>
      </w:r>
    </w:p>
    <w:p>
      <w:pPr>
        <w:spacing w:after="0" w:line="263" w:lineRule="exact"/>
        <w:rPr>
          <w:sz w:val="20"/>
          <w:szCs w:val="20"/>
          <w:color w:val="auto"/>
        </w:rPr>
      </w:pPr>
    </w:p>
    <w:p>
      <w:pPr>
        <w:ind w:left="760" w:hanging="752"/>
        <w:spacing w:after="0"/>
        <w:tabs>
          <w:tab w:leader="none" w:pos="760" w:val="left"/>
        </w:tabs>
        <w:numPr>
          <w:ilvl w:val="0"/>
          <w:numId w:val="53"/>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Purpose</w:t>
      </w:r>
    </w:p>
    <w:p>
      <w:pPr>
        <w:spacing w:after="0" w:line="216" w:lineRule="exact"/>
        <w:rPr>
          <w:sz w:val="20"/>
          <w:szCs w:val="20"/>
          <w:color w:val="auto"/>
        </w:rPr>
      </w:pPr>
    </w:p>
    <w:p>
      <w:pPr>
        <w:ind w:right="120"/>
        <w:spacing w:after="0" w:line="243" w:lineRule="auto"/>
        <w:rPr>
          <w:sz w:val="20"/>
          <w:szCs w:val="20"/>
          <w:color w:val="auto"/>
        </w:rPr>
      </w:pPr>
      <w:r>
        <w:rPr>
          <w:rFonts w:ascii="Verdana" w:cs="Verdana" w:eastAsia="Verdana" w:hAnsi="Verdana"/>
          <w:sz w:val="20"/>
          <w:szCs w:val="20"/>
          <w:color w:val="auto"/>
        </w:rPr>
        <w:t>The Company has adopted this Policy in part to comply with Section 954 of the Dodd-Frank Wall Street Reform and Consumer Protection Act of 2010, as codified by Section 10D of the Exchange Act, and Nasdaq Listing Rule 5608, which require the recovery of certain forms of executive compensation in the case of accounting restatements resulting from a material error in an issuer’s financial statements or material noncompliance with financial reporting requirements under the federal securities laws.</w:t>
      </w:r>
    </w:p>
    <w:p>
      <w:pPr>
        <w:spacing w:after="0" w:line="200" w:lineRule="exact"/>
        <w:rPr>
          <w:sz w:val="20"/>
          <w:szCs w:val="20"/>
          <w:color w:val="auto"/>
        </w:rPr>
      </w:pPr>
    </w:p>
    <w:p>
      <w:pPr>
        <w:ind w:left="760" w:hanging="752"/>
        <w:spacing w:after="0"/>
        <w:tabs>
          <w:tab w:leader="none" w:pos="760" w:val="left"/>
        </w:tabs>
        <w:numPr>
          <w:ilvl w:val="0"/>
          <w:numId w:val="54"/>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Administration</w:t>
      </w:r>
    </w:p>
    <w:p>
      <w:pPr>
        <w:spacing w:after="0" w:line="216" w:lineRule="exact"/>
        <w:rPr>
          <w:sz w:val="20"/>
          <w:szCs w:val="20"/>
          <w:color w:val="auto"/>
        </w:rPr>
      </w:pPr>
    </w:p>
    <w:p>
      <w:pPr>
        <w:ind w:right="380"/>
        <w:spacing w:after="0" w:line="253" w:lineRule="auto"/>
        <w:rPr>
          <w:sz w:val="20"/>
          <w:szCs w:val="20"/>
          <w:color w:val="auto"/>
        </w:rPr>
      </w:pPr>
      <w:r>
        <w:rPr>
          <w:rFonts w:ascii="Verdana" w:cs="Verdana" w:eastAsia="Verdana" w:hAnsi="Verdana"/>
          <w:sz w:val="20"/>
          <w:szCs w:val="20"/>
          <w:color w:val="auto"/>
        </w:rPr>
        <w:t>This Policy shall be administered by the Compensation Committee (the “</w:t>
      </w:r>
      <w:r>
        <w:rPr>
          <w:rFonts w:ascii="Verdana" w:cs="Verdana" w:eastAsia="Verdana" w:hAnsi="Verdana"/>
          <w:sz w:val="20"/>
          <w:szCs w:val="20"/>
          <w:b w:val="1"/>
          <w:bCs w:val="1"/>
          <w:color w:val="auto"/>
        </w:rPr>
        <w:t>Committee</w:t>
      </w:r>
      <w:r>
        <w:rPr>
          <w:rFonts w:ascii="Verdana" w:cs="Verdana" w:eastAsia="Verdana" w:hAnsi="Verdana"/>
          <w:sz w:val="20"/>
          <w:szCs w:val="20"/>
          <w:color w:val="auto"/>
        </w:rPr>
        <w:t>”) of the Board, and any determinations made by the Committee shall be final and binding on all affected individuals.</w:t>
      </w:r>
    </w:p>
    <w:p>
      <w:pPr>
        <w:spacing w:after="0" w:line="190" w:lineRule="exact"/>
        <w:rPr>
          <w:sz w:val="20"/>
          <w:szCs w:val="20"/>
          <w:color w:val="auto"/>
        </w:rPr>
      </w:pPr>
    </w:p>
    <w:p>
      <w:pPr>
        <w:ind w:right="120"/>
        <w:spacing w:after="0" w:line="246" w:lineRule="auto"/>
        <w:rPr>
          <w:sz w:val="20"/>
          <w:szCs w:val="20"/>
          <w:color w:val="auto"/>
        </w:rPr>
      </w:pPr>
      <w:r>
        <w:rPr>
          <w:rFonts w:ascii="Verdana" w:cs="Verdana" w:eastAsia="Verdana" w:hAnsi="Verdana"/>
          <w:sz w:val="20"/>
          <w:szCs w:val="20"/>
          <w:color w:val="auto"/>
        </w:rPr>
        <w:t>The Committee is authorized to interpret this Policy and to make all determinations necessary or advisable for the administration of this Policy and for the Company’s compliance with the requirements of Section 10D of the Exchange Act and any applicable rules or standards adopted by the SEC and Nasdaq.</w:t>
      </w:r>
    </w:p>
    <w:p>
      <w:pPr>
        <w:spacing w:after="0" w:line="198" w:lineRule="exact"/>
        <w:rPr>
          <w:sz w:val="20"/>
          <w:szCs w:val="20"/>
          <w:color w:val="auto"/>
        </w:rPr>
      </w:pPr>
    </w:p>
    <w:p>
      <w:pPr>
        <w:ind w:left="760" w:hanging="752"/>
        <w:spacing w:after="0"/>
        <w:tabs>
          <w:tab w:leader="none" w:pos="760" w:val="left"/>
        </w:tabs>
        <w:numPr>
          <w:ilvl w:val="0"/>
          <w:numId w:val="55"/>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Definitions</w:t>
      </w:r>
    </w:p>
    <w:p>
      <w:pPr>
        <w:spacing w:after="0" w:line="216" w:lineRule="exact"/>
        <w:rPr>
          <w:sz w:val="20"/>
          <w:szCs w:val="20"/>
          <w:color w:val="auto"/>
        </w:rPr>
      </w:pPr>
    </w:p>
    <w:p>
      <w:pPr>
        <w:spacing w:after="0"/>
        <w:rPr>
          <w:sz w:val="20"/>
          <w:szCs w:val="20"/>
          <w:color w:val="auto"/>
        </w:rPr>
      </w:pPr>
      <w:r>
        <w:rPr>
          <w:rFonts w:ascii="Verdana" w:cs="Verdana" w:eastAsia="Verdana" w:hAnsi="Verdana"/>
          <w:sz w:val="20"/>
          <w:szCs w:val="20"/>
          <w:color w:val="auto"/>
        </w:rPr>
        <w:t>For purposes of this Policy, the following capitalized terms shall have the meanings set forth below.</w:t>
      </w:r>
    </w:p>
    <w:p>
      <w:pPr>
        <w:spacing w:after="0" w:line="216" w:lineRule="exact"/>
        <w:rPr>
          <w:sz w:val="20"/>
          <w:szCs w:val="20"/>
          <w:color w:val="auto"/>
        </w:rPr>
      </w:pPr>
    </w:p>
    <w:p>
      <w:pPr>
        <w:ind w:left="1500" w:hanging="743"/>
        <w:spacing w:after="0"/>
        <w:tabs>
          <w:tab w:leader="none" w:pos="1500" w:val="left"/>
        </w:tabs>
        <w:numPr>
          <w:ilvl w:val="0"/>
          <w:numId w:val="56"/>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Acknowledgement Form</w:t>
      </w:r>
      <w:r>
        <w:rPr>
          <w:rFonts w:ascii="Verdana" w:cs="Verdana" w:eastAsia="Verdana" w:hAnsi="Verdana"/>
          <w:sz w:val="20"/>
          <w:szCs w:val="20"/>
          <w:color w:val="auto"/>
        </w:rPr>
        <w:t>” shall mean the acknowledgment form attached hereto as Annex A.</w:t>
      </w:r>
    </w:p>
    <w:p>
      <w:pPr>
        <w:spacing w:after="0" w:line="215" w:lineRule="exact"/>
        <w:rPr>
          <w:rFonts w:ascii="Verdana" w:cs="Verdana" w:eastAsia="Verdana" w:hAnsi="Verdana"/>
          <w:sz w:val="20"/>
          <w:szCs w:val="20"/>
          <w:color w:val="auto"/>
        </w:rPr>
      </w:pPr>
    </w:p>
    <w:p>
      <w:pPr>
        <w:ind w:left="1500" w:hanging="743"/>
        <w:spacing w:after="0"/>
        <w:tabs>
          <w:tab w:leader="none" w:pos="1500" w:val="left"/>
        </w:tabs>
        <w:numPr>
          <w:ilvl w:val="0"/>
          <w:numId w:val="56"/>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Board</w:t>
      </w:r>
      <w:r>
        <w:rPr>
          <w:rFonts w:ascii="Verdana" w:cs="Verdana" w:eastAsia="Verdana" w:hAnsi="Verdana"/>
          <w:sz w:val="20"/>
          <w:szCs w:val="20"/>
          <w:color w:val="auto"/>
        </w:rPr>
        <w:t>” shall mean the Board of Directors of the Company.</w:t>
      </w:r>
    </w:p>
    <w:p>
      <w:pPr>
        <w:spacing w:after="0" w:line="215" w:lineRule="exact"/>
        <w:rPr>
          <w:rFonts w:ascii="Verdana" w:cs="Verdana" w:eastAsia="Verdana" w:hAnsi="Verdana"/>
          <w:sz w:val="20"/>
          <w:szCs w:val="20"/>
          <w:color w:val="auto"/>
        </w:rPr>
      </w:pPr>
    </w:p>
    <w:p>
      <w:pPr>
        <w:ind w:left="1500" w:right="80" w:hanging="743"/>
        <w:spacing w:after="0" w:line="243" w:lineRule="auto"/>
        <w:tabs>
          <w:tab w:leader="none" w:pos="1500" w:val="left"/>
        </w:tabs>
        <w:numPr>
          <w:ilvl w:val="0"/>
          <w:numId w:val="56"/>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Clawback Eligible Incentive-based Compensation</w:t>
      </w:r>
      <w:r>
        <w:rPr>
          <w:rFonts w:ascii="Verdana" w:cs="Verdana" w:eastAsia="Verdana" w:hAnsi="Verdana"/>
          <w:sz w:val="20"/>
          <w:szCs w:val="20"/>
          <w:color w:val="auto"/>
        </w:rPr>
        <w:t>” means all Incentive-based Compensation received by Covered Executives (i) after beginning service as a Covered Executive, (ii) who served as a Covered Executive at any time during the performance period for such Incentive-based Compensation, and (iii) during the three completed fiscal years immediately preceding a Restatement Date.</w:t>
      </w:r>
    </w:p>
    <w:p>
      <w:pPr>
        <w:spacing w:after="0" w:line="200" w:lineRule="exact"/>
        <w:rPr>
          <w:rFonts w:ascii="Verdana" w:cs="Verdana" w:eastAsia="Verdana" w:hAnsi="Verdana"/>
          <w:sz w:val="20"/>
          <w:szCs w:val="20"/>
          <w:color w:val="auto"/>
        </w:rPr>
      </w:pPr>
    </w:p>
    <w:p>
      <w:pPr>
        <w:ind w:left="1500" w:right="160" w:hanging="743"/>
        <w:spacing w:after="0" w:line="279" w:lineRule="auto"/>
        <w:tabs>
          <w:tab w:leader="none" w:pos="1500" w:val="left"/>
        </w:tabs>
        <w:numPr>
          <w:ilvl w:val="0"/>
          <w:numId w:val="56"/>
        </w:numPr>
        <w:rPr>
          <w:rFonts w:ascii="Verdana" w:cs="Verdana" w:eastAsia="Verdana" w:hAnsi="Verdana"/>
          <w:sz w:val="19"/>
          <w:szCs w:val="19"/>
          <w:color w:val="auto"/>
        </w:rPr>
      </w:pPr>
      <w:r>
        <w:rPr>
          <w:rFonts w:ascii="Verdana" w:cs="Verdana" w:eastAsia="Verdana" w:hAnsi="Verdana"/>
          <w:sz w:val="19"/>
          <w:szCs w:val="19"/>
          <w:color w:val="auto"/>
        </w:rPr>
        <w:t>“</w:t>
      </w:r>
      <w:r>
        <w:rPr>
          <w:rFonts w:ascii="Verdana" w:cs="Verdana" w:eastAsia="Verdana" w:hAnsi="Verdana"/>
          <w:sz w:val="19"/>
          <w:szCs w:val="19"/>
          <w:b w:val="1"/>
          <w:bCs w:val="1"/>
          <w:color w:val="auto"/>
        </w:rPr>
        <w:t>Covered Executive</w:t>
      </w:r>
      <w:r>
        <w:rPr>
          <w:rFonts w:ascii="Verdana" w:cs="Verdana" w:eastAsia="Verdana" w:hAnsi="Verdana"/>
          <w:sz w:val="19"/>
          <w:szCs w:val="19"/>
          <w:color w:val="auto"/>
        </w:rPr>
        <w:t>” shall mean each individual who is currently or was previously designated as an “officer” of the Company as defined in Rule 16a-1(f) under the Exchange Act.</w:t>
      </w:r>
    </w:p>
    <w:p>
      <w:pPr>
        <w:spacing w:after="0" w:line="165" w:lineRule="exact"/>
        <w:rPr>
          <w:rFonts w:ascii="Verdana" w:cs="Verdana" w:eastAsia="Verdana" w:hAnsi="Verdana"/>
          <w:sz w:val="19"/>
          <w:szCs w:val="19"/>
          <w:color w:val="auto"/>
        </w:rPr>
      </w:pPr>
    </w:p>
    <w:p>
      <w:pPr>
        <w:ind w:left="1500" w:hanging="743"/>
        <w:spacing w:after="0" w:line="266" w:lineRule="auto"/>
        <w:tabs>
          <w:tab w:leader="none" w:pos="1500" w:val="left"/>
        </w:tabs>
        <w:numPr>
          <w:ilvl w:val="0"/>
          <w:numId w:val="56"/>
        </w:numPr>
        <w:rPr>
          <w:rFonts w:ascii="Verdana" w:cs="Verdana" w:eastAsia="Verdana" w:hAnsi="Verdana"/>
          <w:sz w:val="19"/>
          <w:szCs w:val="19"/>
          <w:color w:val="auto"/>
        </w:rPr>
      </w:pPr>
      <w:r>
        <w:rPr>
          <w:rFonts w:ascii="Verdana" w:cs="Verdana" w:eastAsia="Verdana" w:hAnsi="Verdana"/>
          <w:sz w:val="19"/>
          <w:szCs w:val="19"/>
          <w:color w:val="auto"/>
        </w:rPr>
        <w:t>“</w:t>
      </w:r>
      <w:r>
        <w:rPr>
          <w:rFonts w:ascii="Verdana" w:cs="Verdana" w:eastAsia="Verdana" w:hAnsi="Verdana"/>
          <w:sz w:val="19"/>
          <w:szCs w:val="19"/>
          <w:b w:val="1"/>
          <w:bCs w:val="1"/>
          <w:color w:val="auto"/>
        </w:rPr>
        <w:t>Erroneously Awarded Compensation</w:t>
      </w:r>
      <w:r>
        <w:rPr>
          <w:rFonts w:ascii="Verdana" w:cs="Verdana" w:eastAsia="Verdana" w:hAnsi="Verdana"/>
          <w:sz w:val="19"/>
          <w:szCs w:val="19"/>
          <w:color w:val="auto"/>
        </w:rPr>
        <w:t>” shall mean, with respect to each Covered Executive in connection with a Restatement, the amount of Clawback Eligible Incentive-based Compensation that exceeds the amount of Incentive-based Compensation that would have been received by the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Verdana" w:cs="Verdana" w:eastAsia="Verdana" w:hAnsi="Verdana"/>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99" w:name="page100"/>
    <w:bookmarkEnd w:id="99"/>
    <w:p>
      <w:pPr>
        <w:jc w:val="right"/>
        <w:spacing w:after="0"/>
        <w:rPr>
          <w:sz w:val="20"/>
          <w:szCs w:val="20"/>
          <w:color w:val="auto"/>
        </w:rPr>
      </w:pPr>
      <w:r>
        <w:rPr>
          <w:rFonts w:ascii="Verdana" w:cs="Verdana" w:eastAsia="Verdana" w:hAnsi="Verdana"/>
          <w:sz w:val="14"/>
          <w:szCs w:val="14"/>
          <w:color w:val="auto"/>
        </w:rPr>
        <w:t>Effective as of November 30,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500"/>
        <w:spacing w:after="0" w:line="253" w:lineRule="auto"/>
        <w:rPr>
          <w:sz w:val="20"/>
          <w:szCs w:val="20"/>
          <w:color w:val="auto"/>
        </w:rPr>
      </w:pPr>
      <w:r>
        <w:rPr>
          <w:rFonts w:ascii="Verdana" w:cs="Verdana" w:eastAsia="Verdana" w:hAnsi="Verdana"/>
          <w:sz w:val="20"/>
          <w:szCs w:val="20"/>
          <w:color w:val="auto"/>
        </w:rPr>
        <w:t>Covered Executive had it been determined based on the restated amounts, without regard to any taxes paid by the Covered Executive.</w:t>
      </w:r>
    </w:p>
    <w:p>
      <w:pPr>
        <w:spacing w:after="0" w:line="190" w:lineRule="exact"/>
        <w:rPr>
          <w:sz w:val="20"/>
          <w:szCs w:val="20"/>
          <w:color w:val="auto"/>
        </w:rPr>
      </w:pPr>
    </w:p>
    <w:p>
      <w:pPr>
        <w:ind w:left="1500" w:hanging="743"/>
        <w:spacing w:after="0"/>
        <w:tabs>
          <w:tab w:leader="none" w:pos="1500" w:val="left"/>
        </w:tabs>
        <w:numPr>
          <w:ilvl w:val="0"/>
          <w:numId w:val="57"/>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Exchange Act</w:t>
      </w:r>
      <w:r>
        <w:rPr>
          <w:rFonts w:ascii="Verdana" w:cs="Verdana" w:eastAsia="Verdana" w:hAnsi="Verdana"/>
          <w:sz w:val="20"/>
          <w:szCs w:val="20"/>
          <w:color w:val="auto"/>
        </w:rPr>
        <w:t>” shall mean the Securities Exchange Act of 1934, as amended.</w:t>
      </w:r>
    </w:p>
    <w:p>
      <w:pPr>
        <w:spacing w:after="0" w:line="215" w:lineRule="exact"/>
        <w:rPr>
          <w:rFonts w:ascii="Verdana" w:cs="Verdana" w:eastAsia="Verdana" w:hAnsi="Verdana"/>
          <w:sz w:val="20"/>
          <w:szCs w:val="20"/>
          <w:color w:val="auto"/>
        </w:rPr>
      </w:pPr>
    </w:p>
    <w:p>
      <w:pPr>
        <w:ind w:left="1500" w:right="60" w:hanging="743"/>
        <w:spacing w:after="0" w:line="242" w:lineRule="auto"/>
        <w:tabs>
          <w:tab w:leader="none" w:pos="1500" w:val="left"/>
        </w:tabs>
        <w:numPr>
          <w:ilvl w:val="0"/>
          <w:numId w:val="57"/>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Financial Reporting Measures</w:t>
      </w:r>
      <w:r>
        <w:rPr>
          <w:rFonts w:ascii="Verdana" w:cs="Verdana" w:eastAsia="Verdana" w:hAnsi="Verdana"/>
          <w:sz w:val="20"/>
          <w:szCs w:val="20"/>
          <w:color w:val="auto"/>
        </w:rPr>
        <w:t>” shall mean measures that are determined and presented in accordance with the accounting principles used in preparing the Company’s financial statements, and any measures that are derived wholly or in part from such measures. Stock price, diluted earnings per share, EBITDA, gross margin, and total shareholder return shall also constitute “Financial Reporting Measures.” A Financial Reporting Measure need not be presented within the Company’s financial statements or included in a filing with the SEC.</w:t>
      </w:r>
    </w:p>
    <w:p>
      <w:pPr>
        <w:spacing w:after="0" w:line="203" w:lineRule="exact"/>
        <w:rPr>
          <w:rFonts w:ascii="Verdana" w:cs="Verdana" w:eastAsia="Verdana" w:hAnsi="Verdana"/>
          <w:sz w:val="20"/>
          <w:szCs w:val="20"/>
          <w:color w:val="auto"/>
        </w:rPr>
      </w:pPr>
    </w:p>
    <w:p>
      <w:pPr>
        <w:ind w:left="1500" w:right="40" w:hanging="743"/>
        <w:spacing w:after="0" w:line="256" w:lineRule="auto"/>
        <w:tabs>
          <w:tab w:leader="none" w:pos="1500" w:val="left"/>
        </w:tabs>
        <w:numPr>
          <w:ilvl w:val="0"/>
          <w:numId w:val="57"/>
        </w:numPr>
        <w:rPr>
          <w:rFonts w:ascii="Verdana" w:cs="Verdana" w:eastAsia="Verdana" w:hAnsi="Verdana"/>
          <w:sz w:val="19"/>
          <w:szCs w:val="19"/>
          <w:color w:val="auto"/>
        </w:rPr>
      </w:pPr>
      <w:r>
        <w:rPr>
          <w:rFonts w:ascii="Verdana" w:cs="Verdana" w:eastAsia="Verdana" w:hAnsi="Verdana"/>
          <w:sz w:val="19"/>
          <w:szCs w:val="19"/>
          <w:color w:val="auto"/>
        </w:rPr>
        <w:t>“</w:t>
      </w:r>
      <w:r>
        <w:rPr>
          <w:rFonts w:ascii="Verdana" w:cs="Verdana" w:eastAsia="Verdana" w:hAnsi="Verdana"/>
          <w:sz w:val="19"/>
          <w:szCs w:val="19"/>
          <w:b w:val="1"/>
          <w:bCs w:val="1"/>
          <w:color w:val="auto"/>
        </w:rPr>
        <w:t>Incentive-based Compensation</w:t>
      </w:r>
      <w:r>
        <w:rPr>
          <w:rFonts w:ascii="Verdana" w:cs="Verdana" w:eastAsia="Verdana" w:hAnsi="Verdana"/>
          <w:sz w:val="19"/>
          <w:szCs w:val="19"/>
          <w:color w:val="auto"/>
        </w:rPr>
        <w:t>” shall mean any compensation that is granted, earned, or vested based wholly or in part upon the attainment of a Financial Reporting Measure. Incentive-based Compensation shall be deemed to have been received during the fiscal period in which the Financial Reporting Measure specified in the Incentive-based Compensation award is attained, even if such Incentive-based Compensation is paid or granted after the end of such fiscal period. For the avoidance of doubt, Incentive-based Compensation does not include annual salary, compensation awarded based on completion of a specified period of service, or compensation awarded based on subjective standards, strategic measures, or operational measures.</w:t>
      </w:r>
    </w:p>
    <w:p>
      <w:pPr>
        <w:spacing w:after="0" w:line="189" w:lineRule="exact"/>
        <w:rPr>
          <w:rFonts w:ascii="Verdana" w:cs="Verdana" w:eastAsia="Verdana" w:hAnsi="Verdana"/>
          <w:sz w:val="19"/>
          <w:szCs w:val="19"/>
          <w:color w:val="auto"/>
        </w:rPr>
      </w:pPr>
    </w:p>
    <w:p>
      <w:pPr>
        <w:ind w:left="1500" w:hanging="743"/>
        <w:spacing w:after="0"/>
        <w:tabs>
          <w:tab w:leader="none" w:pos="1500" w:val="left"/>
        </w:tabs>
        <w:numPr>
          <w:ilvl w:val="0"/>
          <w:numId w:val="57"/>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Nasdaq</w:t>
      </w:r>
      <w:r>
        <w:rPr>
          <w:rFonts w:ascii="Verdana" w:cs="Verdana" w:eastAsia="Verdana" w:hAnsi="Verdana"/>
          <w:sz w:val="20"/>
          <w:szCs w:val="20"/>
          <w:color w:val="auto"/>
        </w:rPr>
        <w:t>” shall mean the Nasdaq Stock Market LLC.</w:t>
      </w:r>
    </w:p>
    <w:p>
      <w:pPr>
        <w:spacing w:after="0" w:line="215" w:lineRule="exact"/>
        <w:rPr>
          <w:rFonts w:ascii="Verdana" w:cs="Verdana" w:eastAsia="Verdana" w:hAnsi="Verdana"/>
          <w:sz w:val="20"/>
          <w:szCs w:val="20"/>
          <w:color w:val="auto"/>
        </w:rPr>
      </w:pPr>
    </w:p>
    <w:p>
      <w:pPr>
        <w:ind w:left="1500" w:right="380" w:hanging="743"/>
        <w:spacing w:after="0" w:line="253" w:lineRule="auto"/>
        <w:tabs>
          <w:tab w:leader="none" w:pos="1500" w:val="left"/>
        </w:tabs>
        <w:numPr>
          <w:ilvl w:val="0"/>
          <w:numId w:val="57"/>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Policy</w:t>
      </w:r>
      <w:r>
        <w:rPr>
          <w:rFonts w:ascii="Verdana" w:cs="Verdana" w:eastAsia="Verdana" w:hAnsi="Verdana"/>
          <w:sz w:val="20"/>
          <w:szCs w:val="20"/>
          <w:color w:val="auto"/>
        </w:rPr>
        <w:t>” shall mean this compensation clawback policy, as may be amended or restated from time to time.</w:t>
      </w:r>
    </w:p>
    <w:p>
      <w:pPr>
        <w:spacing w:after="0" w:line="189" w:lineRule="exact"/>
        <w:rPr>
          <w:rFonts w:ascii="Verdana" w:cs="Verdana" w:eastAsia="Verdana" w:hAnsi="Verdana"/>
          <w:sz w:val="20"/>
          <w:szCs w:val="20"/>
          <w:color w:val="auto"/>
        </w:rPr>
      </w:pPr>
    </w:p>
    <w:p>
      <w:pPr>
        <w:ind w:left="1500" w:right="40" w:hanging="743"/>
        <w:spacing w:after="0" w:line="242" w:lineRule="auto"/>
        <w:tabs>
          <w:tab w:leader="none" w:pos="1500" w:val="left"/>
        </w:tabs>
        <w:numPr>
          <w:ilvl w:val="0"/>
          <w:numId w:val="57"/>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Restatement</w:t>
      </w:r>
      <w:r>
        <w:rPr>
          <w:rFonts w:ascii="Verdana" w:cs="Verdana" w:eastAsia="Verdana" w:hAnsi="Verdana"/>
          <w:sz w:val="20"/>
          <w:szCs w:val="20"/>
          <w:color w:val="auto"/>
        </w:rPr>
        <w:t>” shall mean an accounting restatement due to material noncompliance by the Company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3" w:lineRule="exact"/>
        <w:rPr>
          <w:rFonts w:ascii="Verdana" w:cs="Verdana" w:eastAsia="Verdana" w:hAnsi="Verdana"/>
          <w:sz w:val="20"/>
          <w:szCs w:val="20"/>
          <w:color w:val="auto"/>
        </w:rPr>
      </w:pPr>
    </w:p>
    <w:p>
      <w:pPr>
        <w:ind w:left="1500" w:right="80" w:hanging="743"/>
        <w:spacing w:after="0" w:line="261" w:lineRule="auto"/>
        <w:tabs>
          <w:tab w:leader="none" w:pos="1500" w:val="left"/>
        </w:tabs>
        <w:numPr>
          <w:ilvl w:val="0"/>
          <w:numId w:val="57"/>
        </w:numPr>
        <w:rPr>
          <w:rFonts w:ascii="Verdana" w:cs="Verdana" w:eastAsia="Verdana" w:hAnsi="Verdana"/>
          <w:sz w:val="19"/>
          <w:szCs w:val="19"/>
          <w:color w:val="auto"/>
        </w:rPr>
      </w:pPr>
      <w:r>
        <w:rPr>
          <w:rFonts w:ascii="Verdana" w:cs="Verdana" w:eastAsia="Verdana" w:hAnsi="Verdana"/>
          <w:sz w:val="19"/>
          <w:szCs w:val="19"/>
          <w:color w:val="auto"/>
        </w:rPr>
        <w:t>“</w:t>
      </w:r>
      <w:r>
        <w:rPr>
          <w:rFonts w:ascii="Verdana" w:cs="Verdana" w:eastAsia="Verdana" w:hAnsi="Verdana"/>
          <w:sz w:val="19"/>
          <w:szCs w:val="19"/>
          <w:b w:val="1"/>
          <w:bCs w:val="1"/>
          <w:color w:val="auto"/>
        </w:rPr>
        <w:t>Restatement Date</w:t>
      </w:r>
      <w:r>
        <w:rPr>
          <w:rFonts w:ascii="Verdana" w:cs="Verdana" w:eastAsia="Verdana" w:hAnsi="Verdana"/>
          <w:sz w:val="19"/>
          <w:szCs w:val="19"/>
          <w:color w:val="auto"/>
        </w:rPr>
        <w:t>” shall be the earlier of (i) the date the Board, a committee of the Board, or the Company’s management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183" w:lineRule="exact"/>
        <w:rPr>
          <w:rFonts w:ascii="Verdana" w:cs="Verdana" w:eastAsia="Verdana" w:hAnsi="Verdana"/>
          <w:sz w:val="19"/>
          <w:szCs w:val="19"/>
          <w:color w:val="auto"/>
        </w:rPr>
      </w:pPr>
    </w:p>
    <w:p>
      <w:pPr>
        <w:ind w:left="1500" w:hanging="743"/>
        <w:spacing w:after="0"/>
        <w:tabs>
          <w:tab w:leader="none" w:pos="1500" w:val="left"/>
        </w:tabs>
        <w:numPr>
          <w:ilvl w:val="0"/>
          <w:numId w:val="57"/>
        </w:numPr>
        <w:rPr>
          <w:rFonts w:ascii="Verdana" w:cs="Verdana" w:eastAsia="Verdana" w:hAnsi="Verdana"/>
          <w:sz w:val="20"/>
          <w:szCs w:val="20"/>
          <w:color w:val="auto"/>
        </w:rPr>
      </w:pPr>
      <w:r>
        <w:rPr>
          <w:rFonts w:ascii="Verdana" w:cs="Verdana" w:eastAsia="Verdana" w:hAnsi="Verdana"/>
          <w:sz w:val="20"/>
          <w:szCs w:val="20"/>
          <w:color w:val="auto"/>
        </w:rPr>
        <w:t>“</w:t>
      </w:r>
      <w:r>
        <w:rPr>
          <w:rFonts w:ascii="Verdana" w:cs="Verdana" w:eastAsia="Verdana" w:hAnsi="Verdana"/>
          <w:sz w:val="20"/>
          <w:szCs w:val="20"/>
          <w:b w:val="1"/>
          <w:bCs w:val="1"/>
          <w:color w:val="auto"/>
        </w:rPr>
        <w:t>SEC</w:t>
      </w:r>
      <w:r>
        <w:rPr>
          <w:rFonts w:ascii="Verdana" w:cs="Verdana" w:eastAsia="Verdana" w:hAnsi="Verdana"/>
          <w:sz w:val="20"/>
          <w:szCs w:val="20"/>
          <w:color w:val="auto"/>
        </w:rPr>
        <w:t>” shall mean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Verdana" w:cs="Verdana" w:eastAsia="Verdana" w:hAnsi="Verdana"/>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00" w:name="page101"/>
    <w:bookmarkEnd w:id="100"/>
    <w:p>
      <w:pPr>
        <w:jc w:val="right"/>
        <w:spacing w:after="0"/>
        <w:rPr>
          <w:sz w:val="20"/>
          <w:szCs w:val="20"/>
          <w:color w:val="auto"/>
        </w:rPr>
      </w:pPr>
      <w:r>
        <w:rPr>
          <w:rFonts w:ascii="Verdana" w:cs="Verdana" w:eastAsia="Verdana" w:hAnsi="Verdana"/>
          <w:sz w:val="14"/>
          <w:szCs w:val="14"/>
          <w:color w:val="auto"/>
        </w:rPr>
        <w:t>Effective as of November 30,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60" w:hanging="752"/>
        <w:spacing w:after="0"/>
        <w:tabs>
          <w:tab w:leader="none" w:pos="760" w:val="left"/>
        </w:tabs>
        <w:numPr>
          <w:ilvl w:val="0"/>
          <w:numId w:val="58"/>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Effective Date</w:t>
      </w:r>
    </w:p>
    <w:p>
      <w:pPr>
        <w:spacing w:after="0" w:line="216" w:lineRule="exact"/>
        <w:rPr>
          <w:sz w:val="20"/>
          <w:szCs w:val="20"/>
          <w:color w:val="auto"/>
        </w:rPr>
      </w:pPr>
    </w:p>
    <w:p>
      <w:pPr>
        <w:ind w:right="1320"/>
        <w:spacing w:after="0" w:line="253" w:lineRule="auto"/>
        <w:rPr>
          <w:sz w:val="20"/>
          <w:szCs w:val="20"/>
          <w:color w:val="auto"/>
        </w:rPr>
      </w:pPr>
      <w:r>
        <w:rPr>
          <w:rFonts w:ascii="Verdana" w:cs="Verdana" w:eastAsia="Verdana" w:hAnsi="Verdana"/>
          <w:sz w:val="20"/>
          <w:szCs w:val="20"/>
          <w:color w:val="auto"/>
        </w:rPr>
        <w:t>This Policy was adopted by the Board as of November 30, 2023, and shall apply to Incentive-based Compensation that is received on or after October 2, 2023.</w:t>
      </w:r>
    </w:p>
    <w:p>
      <w:pPr>
        <w:spacing w:after="0" w:line="190" w:lineRule="exact"/>
        <w:rPr>
          <w:sz w:val="20"/>
          <w:szCs w:val="20"/>
          <w:color w:val="auto"/>
        </w:rPr>
      </w:pPr>
    </w:p>
    <w:p>
      <w:pPr>
        <w:ind w:left="760" w:hanging="752"/>
        <w:spacing w:after="0"/>
        <w:tabs>
          <w:tab w:leader="none" w:pos="760" w:val="left"/>
        </w:tabs>
        <w:numPr>
          <w:ilvl w:val="0"/>
          <w:numId w:val="59"/>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Mandatory Recovery</w:t>
      </w:r>
    </w:p>
    <w:p>
      <w:pPr>
        <w:spacing w:after="0" w:line="216" w:lineRule="exact"/>
        <w:rPr>
          <w:sz w:val="20"/>
          <w:szCs w:val="20"/>
          <w:color w:val="auto"/>
        </w:rPr>
      </w:pPr>
    </w:p>
    <w:p>
      <w:pPr>
        <w:ind w:right="100"/>
        <w:spacing w:after="0" w:line="242" w:lineRule="auto"/>
        <w:rPr>
          <w:sz w:val="20"/>
          <w:szCs w:val="20"/>
          <w:color w:val="auto"/>
        </w:rPr>
      </w:pPr>
      <w:r>
        <w:rPr>
          <w:rFonts w:ascii="Verdana" w:cs="Verdana" w:eastAsia="Verdana" w:hAnsi="Verdana"/>
          <w:sz w:val="20"/>
          <w:szCs w:val="20"/>
          <w:color w:val="auto"/>
        </w:rPr>
        <w:t>In the event the Company is required to prepare a Restatement, the Company shall, as promptly as reasonably possible, recover any Erroneously Awarded Compensation. For Incentive-based Compensation based on stock price or total shareholder return, the Committee shall determine the amount of Erroneously Awarded Compensation based on a reasonable estimate of the effect of the Restatement on the stock price or total shareholder return upon which the Incentive-based Compensation was received, and the Company shall document such reasonable estimate and provide such documentation to Nasdaq.</w:t>
      </w:r>
    </w:p>
    <w:p>
      <w:pPr>
        <w:spacing w:after="0" w:line="203" w:lineRule="exact"/>
        <w:rPr>
          <w:sz w:val="20"/>
          <w:szCs w:val="20"/>
          <w:color w:val="auto"/>
        </w:rPr>
      </w:pPr>
    </w:p>
    <w:p>
      <w:pPr>
        <w:spacing w:after="0" w:line="246" w:lineRule="auto"/>
        <w:rPr>
          <w:sz w:val="20"/>
          <w:szCs w:val="20"/>
          <w:color w:val="auto"/>
        </w:rPr>
      </w:pPr>
      <w:r>
        <w:rPr>
          <w:rFonts w:ascii="Verdana" w:cs="Verdana" w:eastAsia="Verdana" w:hAnsi="Verdana"/>
          <w:sz w:val="20"/>
          <w:szCs w:val="20"/>
          <w:color w:val="auto"/>
        </w:rPr>
        <w:t>Subsequent changes in a Covered Executive’s employment status, including retirement or termination of employment, do not affect the Company’s rights to recover Erroneously Awarded Compensation pursuant to this Policy.</w:t>
      </w:r>
    </w:p>
    <w:p>
      <w:pPr>
        <w:spacing w:after="0" w:line="198" w:lineRule="exact"/>
        <w:rPr>
          <w:sz w:val="20"/>
          <w:szCs w:val="20"/>
          <w:color w:val="auto"/>
        </w:rPr>
      </w:pPr>
    </w:p>
    <w:p>
      <w:pPr>
        <w:ind w:right="120"/>
        <w:spacing w:after="0" w:line="242" w:lineRule="auto"/>
        <w:rPr>
          <w:sz w:val="20"/>
          <w:szCs w:val="20"/>
          <w:color w:val="auto"/>
        </w:rPr>
      </w:pPr>
      <w:r>
        <w:rPr>
          <w:rFonts w:ascii="Verdana" w:cs="Verdana" w:eastAsia="Verdana" w:hAnsi="Verdana"/>
          <w:sz w:val="20"/>
          <w:szCs w:val="20"/>
          <w:color w:val="auto"/>
        </w:rPr>
        <w:t>The Committee shall determine, in its sole discretion, the method of recovering any Erroneously Awarded Compensation pursuant to this Policy. Such methods may include: (i) direct recovery by reimbursement; (ii) set-off against future compensation; (iii) forfeiture of equity awards; (iv) set-off or cancelation against planned future awards; (v) forfeiture of deferred compensation (subject to compliance with the Internal Revenue Code and related regulations); and (vi) any other recovery action approved by the Committee and permitted under applicable law.</w:t>
      </w:r>
    </w:p>
    <w:p>
      <w:pPr>
        <w:spacing w:after="0" w:line="203" w:lineRule="exact"/>
        <w:rPr>
          <w:sz w:val="20"/>
          <w:szCs w:val="20"/>
          <w:color w:val="auto"/>
        </w:rPr>
      </w:pPr>
    </w:p>
    <w:p>
      <w:pPr>
        <w:ind w:right="100"/>
        <w:spacing w:after="0" w:line="243" w:lineRule="auto"/>
        <w:rPr>
          <w:sz w:val="20"/>
          <w:szCs w:val="20"/>
          <w:color w:val="auto"/>
        </w:rPr>
      </w:pPr>
      <w:r>
        <w:rPr>
          <w:rFonts w:ascii="Verdana" w:cs="Verdana" w:eastAsia="Verdana" w:hAnsi="Verdana"/>
          <w:sz w:val="20"/>
          <w:szCs w:val="20"/>
          <w:color w:val="auto"/>
        </w:rPr>
        <w:t>To the extent that a Covered Executive fails to repay all Erroneously Awarded Compensation to the Company when due,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w:t>
      </w:r>
    </w:p>
    <w:p>
      <w:pPr>
        <w:spacing w:after="0" w:line="200" w:lineRule="exact"/>
        <w:rPr>
          <w:sz w:val="20"/>
          <w:szCs w:val="20"/>
          <w:color w:val="auto"/>
        </w:rPr>
      </w:pPr>
    </w:p>
    <w:p>
      <w:pPr>
        <w:ind w:left="760" w:hanging="752"/>
        <w:spacing w:after="0"/>
        <w:tabs>
          <w:tab w:leader="none" w:pos="760" w:val="left"/>
        </w:tabs>
        <w:numPr>
          <w:ilvl w:val="0"/>
          <w:numId w:val="60"/>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Discretionary Recovery</w:t>
      </w:r>
    </w:p>
    <w:p>
      <w:pPr>
        <w:spacing w:after="0" w:line="216" w:lineRule="exact"/>
        <w:rPr>
          <w:sz w:val="20"/>
          <w:szCs w:val="20"/>
          <w:color w:val="auto"/>
        </w:rPr>
      </w:pPr>
    </w:p>
    <w:p>
      <w:pPr>
        <w:ind w:right="80"/>
        <w:spacing w:after="0" w:line="242" w:lineRule="auto"/>
        <w:rPr>
          <w:sz w:val="20"/>
          <w:szCs w:val="20"/>
          <w:color w:val="auto"/>
        </w:rPr>
      </w:pPr>
      <w:r>
        <w:rPr>
          <w:rFonts w:ascii="Verdana" w:cs="Verdana" w:eastAsia="Verdana" w:hAnsi="Verdana"/>
          <w:sz w:val="20"/>
          <w:szCs w:val="20"/>
          <w:color w:val="auto"/>
        </w:rPr>
        <w:t>In addition to the other rights and responsibilities under this Policy, in the event of a Restatement, the Committee will review the facts and circumstance that led to the requirement for the Restatement and will take such additional actions as it deems necessary or appropriate regarding any current or former employee of the Company (i) at the level of VP or higher (including Covered Executives) or (ii) with day-to-day responsibility for the preparation of the Company’s financial statements, considering the culpability of any such person regarding the Restatement and whether such acts or omissions constituted misconduct.</w:t>
      </w:r>
    </w:p>
    <w:p>
      <w:pPr>
        <w:spacing w:after="0" w:line="203" w:lineRule="exact"/>
        <w:rPr>
          <w:sz w:val="20"/>
          <w:szCs w:val="20"/>
          <w:color w:val="auto"/>
        </w:rPr>
      </w:pPr>
    </w:p>
    <w:p>
      <w:pPr>
        <w:ind w:right="1100"/>
        <w:spacing w:after="0" w:line="253" w:lineRule="auto"/>
        <w:rPr>
          <w:sz w:val="20"/>
          <w:szCs w:val="20"/>
          <w:color w:val="auto"/>
        </w:rPr>
      </w:pPr>
      <w:r>
        <w:rPr>
          <w:rFonts w:ascii="Verdana" w:cs="Verdana" w:eastAsia="Verdana" w:hAnsi="Verdana"/>
          <w:sz w:val="20"/>
          <w:szCs w:val="20"/>
          <w:color w:val="auto"/>
        </w:rPr>
        <w:t>The actions the Committee may elect to take against any such person, depending on all the facts and circumstances as determined during their review, could include (i) the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Verdana" w:cs="Verdana" w:eastAsia="Verdana" w:hAnsi="Verdana"/>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01" w:name="page102"/>
    <w:bookmarkEnd w:id="101"/>
    <w:p>
      <w:pPr>
        <w:jc w:val="right"/>
        <w:spacing w:after="0"/>
        <w:rPr>
          <w:sz w:val="20"/>
          <w:szCs w:val="20"/>
          <w:color w:val="auto"/>
        </w:rPr>
      </w:pPr>
      <w:r>
        <w:rPr>
          <w:rFonts w:ascii="Verdana" w:cs="Verdana" w:eastAsia="Verdana" w:hAnsi="Verdana"/>
          <w:sz w:val="14"/>
          <w:szCs w:val="14"/>
          <w:color w:val="auto"/>
        </w:rPr>
        <w:t>Effective as of November 30,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53" w:lineRule="auto"/>
        <w:rPr>
          <w:sz w:val="20"/>
          <w:szCs w:val="20"/>
          <w:color w:val="auto"/>
        </w:rPr>
      </w:pPr>
      <w:r>
        <w:rPr>
          <w:rFonts w:ascii="Verdana" w:cs="Verdana" w:eastAsia="Verdana" w:hAnsi="Verdana"/>
          <w:sz w:val="20"/>
          <w:szCs w:val="20"/>
          <w:color w:val="auto"/>
        </w:rPr>
        <w:t>recoupment of all or part of any bonus or other compensation paid to such person, (ii) disciplinary actions, up to and including termination, and (iii) the pursuit of other available remedies including legal action.</w:t>
      </w:r>
    </w:p>
    <w:p>
      <w:pPr>
        <w:spacing w:after="0" w:line="190" w:lineRule="exact"/>
        <w:rPr>
          <w:sz w:val="20"/>
          <w:szCs w:val="20"/>
          <w:color w:val="auto"/>
        </w:rPr>
      </w:pPr>
    </w:p>
    <w:p>
      <w:pPr>
        <w:ind w:left="760" w:hanging="752"/>
        <w:spacing w:after="0"/>
        <w:tabs>
          <w:tab w:leader="none" w:pos="760" w:val="left"/>
        </w:tabs>
        <w:numPr>
          <w:ilvl w:val="0"/>
          <w:numId w:val="61"/>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Impracticability</w:t>
      </w:r>
    </w:p>
    <w:p>
      <w:pPr>
        <w:spacing w:after="0" w:line="216" w:lineRule="exact"/>
        <w:rPr>
          <w:sz w:val="20"/>
          <w:szCs w:val="20"/>
          <w:color w:val="auto"/>
        </w:rPr>
      </w:pPr>
    </w:p>
    <w:p>
      <w:pPr>
        <w:ind w:right="60"/>
        <w:spacing w:after="0" w:line="246" w:lineRule="auto"/>
        <w:rPr>
          <w:sz w:val="20"/>
          <w:szCs w:val="20"/>
          <w:color w:val="auto"/>
        </w:rPr>
      </w:pPr>
      <w:r>
        <w:rPr>
          <w:rFonts w:ascii="Verdana" w:cs="Verdana" w:eastAsia="Verdana" w:hAnsi="Verdana"/>
          <w:sz w:val="20"/>
          <w:szCs w:val="20"/>
          <w:color w:val="auto"/>
        </w:rPr>
        <w:t>The Committee shall recover any Erroneously Awarded Compensation in accordance with this Policy unless such recovery would be impracticable, as determined by the Committee in accordance with Rule 10D-1 under the Exchange Act and the listing standards of Nasdaq.</w:t>
      </w:r>
    </w:p>
    <w:p>
      <w:pPr>
        <w:spacing w:after="0" w:line="198" w:lineRule="exact"/>
        <w:rPr>
          <w:sz w:val="20"/>
          <w:szCs w:val="20"/>
          <w:color w:val="auto"/>
        </w:rPr>
      </w:pPr>
    </w:p>
    <w:p>
      <w:pPr>
        <w:ind w:left="760" w:hanging="752"/>
        <w:spacing w:after="0"/>
        <w:tabs>
          <w:tab w:leader="none" w:pos="760" w:val="left"/>
        </w:tabs>
        <w:numPr>
          <w:ilvl w:val="0"/>
          <w:numId w:val="62"/>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No Indemnification</w:t>
      </w:r>
    </w:p>
    <w:p>
      <w:pPr>
        <w:spacing w:after="0" w:line="216" w:lineRule="exact"/>
        <w:rPr>
          <w:sz w:val="20"/>
          <w:szCs w:val="20"/>
          <w:color w:val="auto"/>
        </w:rPr>
      </w:pPr>
    </w:p>
    <w:p>
      <w:pPr>
        <w:ind w:right="380"/>
        <w:spacing w:after="0" w:line="246" w:lineRule="auto"/>
        <w:rPr>
          <w:sz w:val="20"/>
          <w:szCs w:val="20"/>
          <w:color w:val="auto"/>
        </w:rPr>
      </w:pPr>
      <w:r>
        <w:rPr>
          <w:rFonts w:ascii="Verdana" w:cs="Verdana" w:eastAsia="Verdana" w:hAnsi="Verdana"/>
          <w:sz w:val="20"/>
          <w:szCs w:val="20"/>
          <w:color w:val="auto"/>
        </w:rPr>
        <w:t>The Company shall not indemnify any current or former Covered Executive against the loss of Erroneously Awarded Compensation, and shall not pay, or reimburse any Covered Executives, for any insurance policy to fund such executive’s potential recovery obligations.</w:t>
      </w:r>
    </w:p>
    <w:p>
      <w:pPr>
        <w:spacing w:after="0" w:line="198" w:lineRule="exact"/>
        <w:rPr>
          <w:sz w:val="20"/>
          <w:szCs w:val="20"/>
          <w:color w:val="auto"/>
        </w:rPr>
      </w:pPr>
    </w:p>
    <w:p>
      <w:pPr>
        <w:ind w:left="760" w:hanging="752"/>
        <w:spacing w:after="0"/>
        <w:tabs>
          <w:tab w:leader="none" w:pos="760" w:val="left"/>
        </w:tabs>
        <w:numPr>
          <w:ilvl w:val="0"/>
          <w:numId w:val="63"/>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Acknowledgment</w:t>
      </w:r>
    </w:p>
    <w:p>
      <w:pPr>
        <w:spacing w:after="0" w:line="216" w:lineRule="exact"/>
        <w:rPr>
          <w:sz w:val="20"/>
          <w:szCs w:val="20"/>
          <w:color w:val="auto"/>
        </w:rPr>
      </w:pPr>
    </w:p>
    <w:p>
      <w:pPr>
        <w:ind w:right="240"/>
        <w:spacing w:after="0" w:line="244" w:lineRule="auto"/>
        <w:rPr>
          <w:sz w:val="20"/>
          <w:szCs w:val="20"/>
          <w:color w:val="auto"/>
        </w:rPr>
      </w:pPr>
      <w:r>
        <w:rPr>
          <w:rFonts w:ascii="Verdana" w:cs="Verdana" w:eastAsia="Verdana" w:hAnsi="Verdana"/>
          <w:sz w:val="20"/>
          <w:szCs w:val="20"/>
          <w:color w:val="auto"/>
        </w:rPr>
        <w:t>Each Covered Executive shall sign and return to the Company an Acknowledgement Form, pursuant to which the Covered Executive agrees to be bound by, and to comply with, the terms and conditions of this Policy. For the avoidance of doubt, each Covered Executive will be fully bound by the Policy whether or not such Covered Executive has executed and returned such Acknowledgment Form to the Company.</w:t>
      </w:r>
    </w:p>
    <w:p>
      <w:pPr>
        <w:spacing w:after="0" w:line="200" w:lineRule="exact"/>
        <w:rPr>
          <w:sz w:val="20"/>
          <w:szCs w:val="20"/>
          <w:color w:val="auto"/>
        </w:rPr>
      </w:pPr>
    </w:p>
    <w:p>
      <w:pPr>
        <w:ind w:left="760" w:hanging="752"/>
        <w:spacing w:after="0"/>
        <w:tabs>
          <w:tab w:leader="none" w:pos="760" w:val="left"/>
        </w:tabs>
        <w:numPr>
          <w:ilvl w:val="0"/>
          <w:numId w:val="64"/>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Amendment</w:t>
      </w:r>
    </w:p>
    <w:p>
      <w:pPr>
        <w:spacing w:after="0" w:line="216" w:lineRule="exact"/>
        <w:rPr>
          <w:sz w:val="20"/>
          <w:szCs w:val="20"/>
          <w:color w:val="auto"/>
        </w:rPr>
      </w:pPr>
    </w:p>
    <w:p>
      <w:pPr>
        <w:jc w:val="both"/>
        <w:ind w:right="600"/>
        <w:spacing w:after="0" w:line="244" w:lineRule="auto"/>
        <w:rPr>
          <w:sz w:val="20"/>
          <w:szCs w:val="20"/>
          <w:color w:val="auto"/>
        </w:rPr>
      </w:pPr>
      <w:r>
        <w:rPr>
          <w:rFonts w:ascii="Verdana" w:cs="Verdana" w:eastAsia="Verdana" w:hAnsi="Verdana"/>
          <w:sz w:val="20"/>
          <w:szCs w:val="20"/>
          <w:color w:val="auto"/>
        </w:rPr>
        <w:t>The Committee may amend this Policy from time to time in its discretion and shall amend this Policy as it deems necessary to reflect the regulations adopted by the SEC and to comply with any rules or standards adopted by Nasdaq or such other national securities exchange on which the Company’s securities are then listed.</w:t>
      </w:r>
    </w:p>
    <w:p>
      <w:pPr>
        <w:spacing w:after="0" w:line="200" w:lineRule="exact"/>
        <w:rPr>
          <w:sz w:val="20"/>
          <w:szCs w:val="20"/>
          <w:color w:val="auto"/>
        </w:rPr>
      </w:pPr>
    </w:p>
    <w:p>
      <w:pPr>
        <w:ind w:left="760" w:hanging="752"/>
        <w:spacing w:after="0"/>
        <w:tabs>
          <w:tab w:leader="none" w:pos="760" w:val="left"/>
        </w:tabs>
        <w:numPr>
          <w:ilvl w:val="0"/>
          <w:numId w:val="65"/>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Other Recoupment Rights</w:t>
      </w:r>
    </w:p>
    <w:p>
      <w:pPr>
        <w:spacing w:after="0" w:line="216" w:lineRule="exact"/>
        <w:rPr>
          <w:sz w:val="20"/>
          <w:szCs w:val="20"/>
          <w:color w:val="auto"/>
        </w:rPr>
      </w:pPr>
    </w:p>
    <w:p>
      <w:pPr>
        <w:ind w:right="120"/>
        <w:spacing w:after="0" w:line="266" w:lineRule="auto"/>
        <w:rPr>
          <w:sz w:val="20"/>
          <w:szCs w:val="20"/>
          <w:color w:val="auto"/>
        </w:rPr>
      </w:pPr>
      <w:r>
        <w:rPr>
          <w:rFonts w:ascii="Verdana" w:cs="Verdana" w:eastAsia="Verdana" w:hAnsi="Verdana"/>
          <w:sz w:val="19"/>
          <w:szCs w:val="19"/>
          <w:color w:val="auto"/>
        </w:rPr>
        <w:t>Any right of recoupment under this Policy is in addition to, and not in lieu of, any other rights of recoupment or remedies that may be available to the Company pursuant to the terms of any employment agreement, equity award agreement, similar agreement, or policy and any other legal remedies available to the Company.</w:t>
      </w:r>
    </w:p>
    <w:p>
      <w:pPr>
        <w:spacing w:after="0" w:line="177" w:lineRule="exact"/>
        <w:rPr>
          <w:sz w:val="20"/>
          <w:szCs w:val="20"/>
          <w:color w:val="auto"/>
        </w:rPr>
      </w:pPr>
    </w:p>
    <w:p>
      <w:pPr>
        <w:ind w:left="760" w:hanging="752"/>
        <w:spacing w:after="0"/>
        <w:tabs>
          <w:tab w:leader="none" w:pos="760" w:val="left"/>
        </w:tabs>
        <w:numPr>
          <w:ilvl w:val="0"/>
          <w:numId w:val="66"/>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Successors</w:t>
      </w:r>
    </w:p>
    <w:p>
      <w:pPr>
        <w:spacing w:after="0" w:line="216" w:lineRule="exact"/>
        <w:rPr>
          <w:sz w:val="20"/>
          <w:szCs w:val="20"/>
          <w:color w:val="auto"/>
        </w:rPr>
      </w:pPr>
    </w:p>
    <w:p>
      <w:pPr>
        <w:ind w:right="560"/>
        <w:spacing w:after="0" w:line="246" w:lineRule="auto"/>
        <w:rPr>
          <w:sz w:val="20"/>
          <w:szCs w:val="20"/>
          <w:color w:val="auto"/>
        </w:rPr>
      </w:pPr>
      <w:r>
        <w:rPr>
          <w:rFonts w:ascii="Verdana" w:cs="Verdana" w:eastAsia="Verdana" w:hAnsi="Verdana"/>
          <w:sz w:val="20"/>
          <w:szCs w:val="20"/>
          <w:color w:val="auto"/>
        </w:rPr>
        <w:t>This Policy shall be binding and enforceable against all Covered Executives and, to the extent required by applicable law or guidance from the SEC or Nasdaq, their administrators, beneficiaries, executors, heirs,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Verdana" w:cs="Verdana" w:eastAsia="Verdana" w:hAnsi="Verdana"/>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02" w:name="page103"/>
    <w:bookmarkEnd w:id="102"/>
    <w:p>
      <w:pPr>
        <w:jc w:val="right"/>
        <w:spacing w:after="0"/>
        <w:rPr>
          <w:sz w:val="20"/>
          <w:szCs w:val="20"/>
          <w:color w:val="auto"/>
        </w:rPr>
      </w:pPr>
      <w:r>
        <w:rPr>
          <w:rFonts w:ascii="Verdana" w:cs="Verdana" w:eastAsia="Verdana" w:hAnsi="Verdana"/>
          <w:sz w:val="14"/>
          <w:szCs w:val="14"/>
          <w:color w:val="auto"/>
        </w:rPr>
        <w:t>Effective as of November 30,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60" w:hanging="752"/>
        <w:spacing w:after="0"/>
        <w:tabs>
          <w:tab w:leader="none" w:pos="760" w:val="left"/>
        </w:tabs>
        <w:numPr>
          <w:ilvl w:val="0"/>
          <w:numId w:val="67"/>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Venue</w:t>
      </w:r>
    </w:p>
    <w:p>
      <w:pPr>
        <w:spacing w:after="0" w:line="216" w:lineRule="exact"/>
        <w:rPr>
          <w:sz w:val="20"/>
          <w:szCs w:val="20"/>
          <w:color w:val="auto"/>
        </w:rPr>
      </w:pPr>
    </w:p>
    <w:p>
      <w:pPr>
        <w:jc w:val="both"/>
        <w:ind w:right="400"/>
        <w:spacing w:after="0" w:line="246" w:lineRule="auto"/>
        <w:rPr>
          <w:sz w:val="20"/>
          <w:szCs w:val="20"/>
          <w:color w:val="auto"/>
        </w:rPr>
      </w:pPr>
      <w:r>
        <w:rPr>
          <w:rFonts w:ascii="Verdana" w:cs="Verdana" w:eastAsia="Verdana" w:hAnsi="Verdana"/>
          <w:sz w:val="20"/>
          <w:szCs w:val="20"/>
          <w:color w:val="auto"/>
        </w:rPr>
        <w:t>All actions arising out of or relating to this Policy shall be brought and determined exclusively in the Court of Chancery of the State of Delaware or, in the event that such court does not have subject matter jurisdiction over such action, in any state or federal court within the State of Delaware.</w:t>
      </w:r>
    </w:p>
    <w:p>
      <w:pPr>
        <w:spacing w:after="0" w:line="198" w:lineRule="exact"/>
        <w:rPr>
          <w:sz w:val="20"/>
          <w:szCs w:val="20"/>
          <w:color w:val="auto"/>
        </w:rPr>
      </w:pPr>
    </w:p>
    <w:p>
      <w:pPr>
        <w:ind w:left="760" w:hanging="752"/>
        <w:spacing w:after="0"/>
        <w:tabs>
          <w:tab w:leader="none" w:pos="760" w:val="left"/>
        </w:tabs>
        <w:numPr>
          <w:ilvl w:val="0"/>
          <w:numId w:val="68"/>
        </w:numPr>
        <w:rPr>
          <w:rFonts w:ascii="Verdana" w:cs="Verdana" w:eastAsia="Verdana" w:hAnsi="Verdana"/>
          <w:sz w:val="20"/>
          <w:szCs w:val="20"/>
          <w:b w:val="1"/>
          <w:bCs w:val="1"/>
          <w:color w:val="auto"/>
        </w:rPr>
      </w:pPr>
      <w:r>
        <w:rPr>
          <w:rFonts w:ascii="Verdana" w:cs="Verdana" w:eastAsia="Verdana" w:hAnsi="Verdana"/>
          <w:sz w:val="20"/>
          <w:szCs w:val="20"/>
          <w:b w:val="1"/>
          <w:bCs w:val="1"/>
          <w:color w:val="auto"/>
        </w:rPr>
        <w:t>Governing Law</w:t>
      </w:r>
    </w:p>
    <w:p>
      <w:pPr>
        <w:spacing w:after="0" w:line="216" w:lineRule="exact"/>
        <w:rPr>
          <w:sz w:val="20"/>
          <w:szCs w:val="20"/>
          <w:color w:val="auto"/>
        </w:rPr>
      </w:pPr>
    </w:p>
    <w:p>
      <w:pPr>
        <w:jc w:val="both"/>
        <w:ind w:right="220"/>
        <w:spacing w:after="0" w:line="246" w:lineRule="auto"/>
        <w:rPr>
          <w:sz w:val="20"/>
          <w:szCs w:val="20"/>
          <w:color w:val="auto"/>
        </w:rPr>
      </w:pPr>
      <w:r>
        <w:rPr>
          <w:rFonts w:ascii="Verdana" w:cs="Verdana" w:eastAsia="Verdana" w:hAnsi="Verdana"/>
          <w:sz w:val="20"/>
          <w:szCs w:val="20"/>
          <w:color w:val="auto"/>
        </w:rPr>
        <w:t>This Policy shall be governed by and construed in accordance with the internal laws of the State of Delaware, without giving effect to any choice or conflict of law provision or rule (whether of the State of Delaware or any other jurisdiction).</w:t>
      </w:r>
    </w:p>
    <w:p>
      <w:pPr>
        <w:spacing w:after="0" w:line="198" w:lineRule="exact"/>
        <w:rPr>
          <w:sz w:val="20"/>
          <w:szCs w:val="20"/>
          <w:color w:val="auto"/>
        </w:rPr>
      </w:pPr>
    </w:p>
    <w:p>
      <w:pPr>
        <w:jc w:val="center"/>
        <w:spacing w:after="0"/>
        <w:rPr>
          <w:sz w:val="20"/>
          <w:szCs w:val="20"/>
          <w:color w:val="auto"/>
        </w:rPr>
      </w:pPr>
      <w:r>
        <w:rPr>
          <w:rFonts w:ascii="Verdana" w:cs="Verdana" w:eastAsia="Verdana" w:hAnsi="Verdana"/>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Verdana" w:cs="Verdana" w:eastAsia="Verdana" w:hAnsi="Verdana"/>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03" w:name="page104"/>
    <w:bookmarkEnd w:id="103"/>
    <w:p>
      <w:pPr>
        <w:jc w:val="right"/>
        <w:spacing w:after="0"/>
        <w:rPr>
          <w:sz w:val="20"/>
          <w:szCs w:val="20"/>
          <w:color w:val="auto"/>
        </w:rPr>
      </w:pPr>
      <w:r>
        <w:rPr>
          <w:rFonts w:ascii="Verdana" w:cs="Verdana" w:eastAsia="Verdana" w:hAnsi="Verdana"/>
          <w:sz w:val="14"/>
          <w:szCs w:val="14"/>
          <w:color w:val="auto"/>
        </w:rPr>
        <w:t>Effective as of November 30,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160"/>
        <w:spacing w:after="0"/>
        <w:rPr>
          <w:sz w:val="20"/>
          <w:szCs w:val="20"/>
          <w:color w:val="auto"/>
        </w:rPr>
      </w:pPr>
      <w:r>
        <w:rPr>
          <w:rFonts w:ascii="Verdana" w:cs="Verdana" w:eastAsia="Verdana" w:hAnsi="Verdana"/>
          <w:sz w:val="20"/>
          <w:szCs w:val="20"/>
          <w:b w:val="1"/>
          <w:bCs w:val="1"/>
          <w:color w:val="auto"/>
        </w:rPr>
        <w:t>Annex A</w:t>
      </w:r>
    </w:p>
    <w:p>
      <w:pPr>
        <w:spacing w:after="0" w:line="216" w:lineRule="exact"/>
        <w:rPr>
          <w:sz w:val="20"/>
          <w:szCs w:val="20"/>
          <w:color w:val="auto"/>
        </w:rPr>
      </w:pPr>
    </w:p>
    <w:p>
      <w:pPr>
        <w:ind w:left="4640"/>
        <w:spacing w:after="0"/>
        <w:rPr>
          <w:sz w:val="20"/>
          <w:szCs w:val="20"/>
          <w:color w:val="auto"/>
        </w:rPr>
      </w:pPr>
      <w:r>
        <w:rPr>
          <w:rFonts w:ascii="Verdana" w:cs="Verdana" w:eastAsia="Verdana" w:hAnsi="Verdana"/>
          <w:sz w:val="20"/>
          <w:szCs w:val="20"/>
          <w:b w:val="1"/>
          <w:bCs w:val="1"/>
          <w:color w:val="auto"/>
        </w:rPr>
        <w:t>HUB GROUP, INC.</w:t>
      </w:r>
    </w:p>
    <w:p>
      <w:pPr>
        <w:jc w:val="center"/>
        <w:spacing w:after="0"/>
        <w:rPr>
          <w:sz w:val="20"/>
          <w:szCs w:val="20"/>
          <w:color w:val="auto"/>
        </w:rPr>
      </w:pPr>
      <w:r>
        <w:rPr>
          <w:rFonts w:ascii="Verdana" w:cs="Verdana" w:eastAsia="Verdana" w:hAnsi="Verdana"/>
          <w:sz w:val="20"/>
          <w:szCs w:val="20"/>
          <w:b w:val="1"/>
          <w:bCs w:val="1"/>
          <w:color w:val="auto"/>
        </w:rPr>
        <w:t>COMPENSATION CLAWBACK POLICY</w:t>
      </w:r>
    </w:p>
    <w:p>
      <w:pPr>
        <w:jc w:val="center"/>
        <w:spacing w:after="0"/>
        <w:rPr>
          <w:sz w:val="20"/>
          <w:szCs w:val="20"/>
          <w:color w:val="auto"/>
        </w:rPr>
      </w:pPr>
      <w:r>
        <w:rPr>
          <w:rFonts w:ascii="Verdana" w:cs="Verdana" w:eastAsia="Verdana" w:hAnsi="Verdana"/>
          <w:sz w:val="20"/>
          <w:szCs w:val="20"/>
          <w:b w:val="1"/>
          <w:bCs w:val="1"/>
          <w:color w:val="auto"/>
        </w:rPr>
        <w:t>ACKNOWLEDGEMENT FORM</w:t>
      </w:r>
    </w:p>
    <w:p>
      <w:pPr>
        <w:spacing w:after="0" w:line="243" w:lineRule="exact"/>
        <w:rPr>
          <w:sz w:val="20"/>
          <w:szCs w:val="20"/>
          <w:color w:val="auto"/>
        </w:rPr>
      </w:pPr>
    </w:p>
    <w:p>
      <w:pPr>
        <w:ind w:right="100"/>
        <w:spacing w:after="0" w:line="244" w:lineRule="auto"/>
        <w:rPr>
          <w:sz w:val="20"/>
          <w:szCs w:val="20"/>
          <w:color w:val="auto"/>
        </w:rPr>
      </w:pPr>
      <w:r>
        <w:rPr>
          <w:rFonts w:ascii="Verdana" w:cs="Verdana" w:eastAsia="Verdana" w:hAnsi="Verdana"/>
          <w:sz w:val="20"/>
          <w:szCs w:val="20"/>
          <w:color w:val="auto"/>
        </w:rPr>
        <w:t>By signing below, the undersigned acknowledges and confirms that the undersigned has received and reviewed a copy of the Hub Group, Inc. (the “</w:t>
      </w:r>
      <w:r>
        <w:rPr>
          <w:rFonts w:ascii="Verdana" w:cs="Verdana" w:eastAsia="Verdana" w:hAnsi="Verdana"/>
          <w:sz w:val="20"/>
          <w:szCs w:val="20"/>
          <w:b w:val="1"/>
          <w:bCs w:val="1"/>
          <w:color w:val="auto"/>
        </w:rPr>
        <w:t>Company</w:t>
      </w:r>
      <w:r>
        <w:rPr>
          <w:rFonts w:ascii="Verdana" w:cs="Verdana" w:eastAsia="Verdana" w:hAnsi="Verdana"/>
          <w:sz w:val="20"/>
          <w:szCs w:val="20"/>
          <w:color w:val="auto"/>
        </w:rPr>
        <w:t>”) Compensation Clawback Policy (the “</w:t>
      </w:r>
      <w:r>
        <w:rPr>
          <w:rFonts w:ascii="Verdana" w:cs="Verdana" w:eastAsia="Verdana" w:hAnsi="Verdana"/>
          <w:sz w:val="20"/>
          <w:szCs w:val="20"/>
          <w:b w:val="1"/>
          <w:bCs w:val="1"/>
          <w:color w:val="auto"/>
        </w:rPr>
        <w:t>Policy</w:t>
      </w:r>
      <w:r>
        <w:rPr>
          <w:rFonts w:ascii="Verdana" w:cs="Verdana" w:eastAsia="Verdana" w:hAnsi="Verdana"/>
          <w:sz w:val="20"/>
          <w:szCs w:val="20"/>
          <w:color w:val="auto"/>
        </w:rPr>
        <w:t>”). Capitalized terms used but not defined in this Acknowledgement Form (this “</w:t>
      </w:r>
      <w:r>
        <w:rPr>
          <w:rFonts w:ascii="Verdana" w:cs="Verdana" w:eastAsia="Verdana" w:hAnsi="Verdana"/>
          <w:sz w:val="20"/>
          <w:szCs w:val="20"/>
          <w:b w:val="1"/>
          <w:bCs w:val="1"/>
          <w:color w:val="auto"/>
        </w:rPr>
        <w:t>Acknowledgement Form</w:t>
      </w:r>
      <w:r>
        <w:rPr>
          <w:rFonts w:ascii="Verdana" w:cs="Verdana" w:eastAsia="Verdana" w:hAnsi="Verdana"/>
          <w:sz w:val="20"/>
          <w:szCs w:val="20"/>
          <w:color w:val="auto"/>
        </w:rPr>
        <w:t>”) shall have the meanings set forth in the Policy.</w:t>
      </w:r>
    </w:p>
    <w:p>
      <w:pPr>
        <w:spacing w:after="0" w:line="200" w:lineRule="exact"/>
        <w:rPr>
          <w:sz w:val="20"/>
          <w:szCs w:val="20"/>
          <w:color w:val="auto"/>
        </w:rPr>
      </w:pPr>
    </w:p>
    <w:p>
      <w:pPr>
        <w:ind w:right="80"/>
        <w:spacing w:after="0" w:line="243" w:lineRule="auto"/>
        <w:rPr>
          <w:sz w:val="20"/>
          <w:szCs w:val="20"/>
          <w:color w:val="auto"/>
        </w:rPr>
      </w:pPr>
      <w:r>
        <w:rPr>
          <w:rFonts w:ascii="Verdana" w:cs="Verdana" w:eastAsia="Verdana" w:hAnsi="Verdana"/>
          <w:sz w:val="20"/>
          <w:szCs w:val="20"/>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by returning any Incentive-based Compensation subject to recovery under the Policy to the Company to the extent required by, and in a manner consistent with, the Policy.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Verdana" w:cs="Verdana" w:eastAsia="Verdana" w:hAnsi="Verdana"/>
          <w:sz w:val="20"/>
          <w:szCs w:val="20"/>
          <w:color w:val="auto"/>
        </w:rPr>
        <w:t>Signature:</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Verdana" w:cs="Verdana" w:eastAsia="Verdana" w:hAnsi="Verdana"/>
          <w:sz w:val="20"/>
          <w:szCs w:val="20"/>
          <w:color w:val="auto"/>
        </w:rPr>
        <w:t>Name:</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Verdana" w:cs="Verdana" w:eastAsia="Verdana" w:hAnsi="Verdana"/>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Verdana" w:cs="Verdana" w:eastAsia="Verdana" w:hAnsi="Verdana"/>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lowerRoman"/>
      <w:start w:val="2"/>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1)"/>
      <w:numFmt w:val="lowerLetter"/>
      <w:start w:val="2"/>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9"/>
    </w:lvl>
  </w:abstractNum>
  <w:abstractNum w:abstractNumId="19">
    <w:nsid w:val="725A06FB"/>
    <w:multiLevelType w:val="hybridMultilevel"/>
    <w:lvl w:ilvl="0">
      <w:lvlJc w:val="left"/>
      <w:lvlText w:val="%1"/>
      <w:numFmt w:val="decimal"/>
      <w:start w:val="21"/>
    </w:lvl>
  </w:abstractNum>
  <w:abstractNum w:abstractNumId="20">
    <w:nsid w:val="2CD89A32"/>
    <w:multiLevelType w:val="hybridMultilevel"/>
    <w:lvl w:ilvl="0">
      <w:lvlJc w:val="left"/>
      <w:lvlText w:val="%1"/>
      <w:numFmt w:val="decimal"/>
      <w:start w:val="97"/>
    </w:lvl>
  </w:abstractNum>
  <w:abstractNum w:abstractNumId="21">
    <w:nsid w:val="57E4CCAF"/>
    <w:multiLevelType w:val="hybridMultilevel"/>
    <w:lvl w:ilvl="0">
      <w:lvlJc w:val="left"/>
      <w:lvlText w:val="%1"/>
      <w:numFmt w:val="decimal"/>
      <w:start w:val="101"/>
    </w:lvl>
  </w:abstractNum>
  <w:abstractNum w:abstractNumId="22">
    <w:nsid w:val="7A6D8D3C"/>
    <w:multiLevelType w:val="hybridMultilevel"/>
    <w:lvl w:ilvl="0">
      <w:lvlJc w:val="left"/>
      <w:lvlText w:val="%1"/>
      <w:numFmt w:val="decimal"/>
      <w:start w:val="104"/>
    </w:lvl>
    <w:lvl w:ilvl="1">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1"/>
    </w:lvl>
    <w:lvl w:ilvl="1">
      <w:lvlJc w:val="left"/>
      <w:lvlText w:val="(%2)"/>
      <w:numFmt w:val="lowerLetter"/>
      <w:start w:val="2"/>
    </w:lvl>
  </w:abstractNum>
  <w:abstractNum w:abstractNumId="27">
    <w:nsid w:val="7644A45C"/>
    <w:multiLevelType w:val="hybridMultilevel"/>
    <w:lvl w:ilvl="0">
      <w:lvlJc w:val="left"/>
      <w:lvlText w:val="(%1)"/>
      <w:numFmt w:val="lowerLetter"/>
      <w:start w:val="61"/>
    </w:lvl>
    <w:lvl w:ilvl="1">
      <w:lvlJc w:val="left"/>
      <w:lvlText w:val="(%2)"/>
      <w:numFmt w:val="lowerLetter"/>
      <w:start w:val="3"/>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2"/>
    </w:lvl>
  </w:abstractNum>
  <w:abstractNum w:abstractNumId="30">
    <w:nsid w:val="579478FE"/>
    <w:multiLevelType w:val="hybridMultilevel"/>
    <w:lvl w:ilvl="0">
      <w:lvlJc w:val="left"/>
      <w:lvlText w:val="%1."/>
      <w:numFmt w:val="upperLetter"/>
      <w:start w:val="9"/>
    </w:lvl>
  </w:abstractNum>
  <w:abstractNum w:abstractNumId="31">
    <w:nsid w:val="749ABB43"/>
    <w:multiLevelType w:val="hybridMultilevel"/>
    <w:lvl w:ilvl="0">
      <w:lvlJc w:val="left"/>
      <w:lvlText w:val="%1."/>
      <w:numFmt w:val="upperLetter"/>
      <w:start w:val="35"/>
    </w:lvl>
    <w:lvl w:ilvl="1">
      <w:lvlJc w:val="left"/>
      <w:lvlText w:val="%2."/>
      <w:numFmt w:val="upperLetter"/>
      <w:start w:val="1"/>
    </w:lvl>
  </w:abstractNum>
  <w:abstractNum w:abstractNumId="32">
    <w:nsid w:val="3DC240FB"/>
    <w:multiLevelType w:val="hybridMultilevel"/>
    <w:lvl w:ilvl="0">
      <w:lvlJc w:val="left"/>
      <w:lvlText w:val="%1."/>
      <w:numFmt w:val="upperLetter"/>
      <w:start w:val="61"/>
    </w:lvl>
  </w:abstractNum>
  <w:abstractNum w:abstractNumId="33">
    <w:nsid w:val="1BA026FA"/>
    <w:multiLevelType w:val="hybridMultilevel"/>
    <w:lvl w:ilvl="0">
      <w:lvlJc w:val="left"/>
      <w:lvlText w:val="%1."/>
      <w:numFmt w:val="upperLetter"/>
      <w:start w:val="1"/>
    </w:lvl>
    <w:lvl w:ilvl="1">
      <w:lvlJc w:val="left"/>
      <w:lvlText w:val="%2."/>
      <w:numFmt w:val="decimal"/>
      <w:start w:val="1"/>
    </w:lvl>
  </w:abstractNum>
  <w:abstractNum w:abstractNumId="34">
    <w:nsid w:val="79A1DEAA"/>
    <w:multiLevelType w:val="hybridMultilevel"/>
    <w:lvl w:ilvl="0">
      <w:lvlJc w:val="left"/>
      <w:lvlText w:val="%1."/>
      <w:numFmt w:val="decimal"/>
      <w:start w:val="8"/>
    </w:lvl>
  </w:abstractNum>
  <w:abstractNum w:abstractNumId="35">
    <w:nsid w:val="75C6C33A"/>
    <w:multiLevelType w:val="hybridMultilevel"/>
    <w:lvl w:ilvl="0">
      <w:lvlJc w:val="left"/>
      <w:lvlText w:val="%1."/>
      <w:numFmt w:val="upperLetter"/>
      <w:start w:val="2"/>
    </w:lvl>
  </w:abstractNum>
  <w:abstractNum w:abstractNumId="36">
    <w:nsid w:val="12E685FB"/>
    <w:multiLevelType w:val="hybridMultilevel"/>
    <w:lvl w:ilvl="0">
      <w:lvlJc w:val="left"/>
      <w:lvlText w:val="%1."/>
      <w:numFmt w:val="upperLetter"/>
      <w:start w:val="1"/>
    </w:lvl>
  </w:abstractNum>
  <w:abstractNum w:abstractNumId="37">
    <w:nsid w:val="70C6A529"/>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8">
    <w:nsid w:val="520EEDD1"/>
    <w:multiLevelType w:val="hybridMultilevel"/>
    <w:lvl w:ilvl="0">
      <w:lvlJc w:val="left"/>
      <w:lvlText w:val="%1."/>
      <w:numFmt w:val="decimal"/>
      <w:start w:val="7"/>
    </w:lvl>
  </w:abstractNum>
  <w:abstractNum w:abstractNumId="39">
    <w:nsid w:val="374A3FE6"/>
    <w:multiLevelType w:val="hybridMultilevel"/>
    <w:lvl w:ilvl="0">
      <w:lvlJc w:val="left"/>
      <w:lvlText w:val="%1."/>
      <w:numFmt w:val="upperLetter"/>
      <w:start w:val="2"/>
    </w:lvl>
    <w:lvl w:ilvl="1">
      <w:lvlJc w:val="left"/>
      <w:lvlText w:val="%2."/>
      <w:numFmt w:val="decimal"/>
      <w:start w:val="1"/>
    </w:lvl>
  </w:abstractNum>
  <w:abstractNum w:abstractNumId="40">
    <w:nsid w:val="4F4EF005"/>
    <w:multiLevelType w:val="hybridMultilevel"/>
    <w:lvl w:ilvl="0">
      <w:lvlJc w:val="left"/>
      <w:lvlText w:val="%1."/>
      <w:numFmt w:val="upperLetter"/>
      <w:start w:val="3"/>
    </w:lvl>
  </w:abstractNum>
  <w:abstractNum w:abstractNumId="41">
    <w:nsid w:val="23F9C13C"/>
    <w:multiLevelType w:val="hybridMultilevel"/>
    <w:lvl w:ilvl="0">
      <w:lvlJc w:val="left"/>
      <w:lvlText w:val="%1."/>
      <w:numFmt w:val="upperLetter"/>
      <w:start w:val="1"/>
    </w:lvl>
    <w:lvl w:ilvl="1">
      <w:lvlJc w:val="left"/>
      <w:lvlText w:val="%2."/>
      <w:numFmt w:val="decimal"/>
      <w:start w:val="1"/>
    </w:lvl>
  </w:abstractNum>
  <w:abstractNum w:abstractNumId="42">
    <w:nsid w:val="649BB77C"/>
    <w:multiLevelType w:val="hybridMultilevel"/>
    <w:lvl w:ilvl="0">
      <w:lvlJc w:val="left"/>
      <w:lvlText w:val="%1."/>
      <w:numFmt w:val="decimal"/>
      <w:start w:val="5"/>
    </w:lvl>
  </w:abstractNum>
  <w:abstractNum w:abstractNumId="43">
    <w:nsid w:val="275AC794"/>
    <w:multiLevelType w:val="hybridMultilevel"/>
    <w:lvl w:ilvl="0">
      <w:lvlJc w:val="left"/>
      <w:lvlText w:val="%1."/>
      <w:numFmt w:val="upperLetter"/>
      <w:start w:val="1"/>
    </w:lvl>
    <w:lvl w:ilvl="1">
      <w:lvlJc w:val="left"/>
      <w:lvlText w:val="%2."/>
      <w:numFmt w:val="decimal"/>
      <w:start w:val="1"/>
    </w:lvl>
  </w:abstractNum>
  <w:abstractNum w:abstractNumId="44">
    <w:nsid w:val="39386575"/>
    <w:multiLevelType w:val="hybridMultilevel"/>
    <w:lvl w:ilvl="0">
      <w:lvlJc w:val="left"/>
      <w:lvlText w:val="%1"/>
      <w:numFmt w:val="upperLetter"/>
      <w:start w:val="1"/>
    </w:lvl>
    <w:lvl w:ilvl="1">
      <w:lvlJc w:val="left"/>
      <w:lvlText w:val="%2."/>
      <w:numFmt w:val="decimal"/>
      <w:start w:val="4"/>
    </w:lvl>
  </w:abstractNum>
  <w:abstractNum w:abstractNumId="45">
    <w:nsid w:val="1CF10FD8"/>
    <w:multiLevelType w:val="hybridMultilevel"/>
    <w:lvl w:ilvl="0">
      <w:lvlJc w:val="left"/>
      <w:lvlText w:val="%1."/>
      <w:numFmt w:val="upperLetter"/>
      <w:start w:val="2"/>
    </w:lvl>
    <w:lvl w:ilvl="1">
      <w:lvlJc w:val="left"/>
      <w:lvlText w:val="%2."/>
      <w:numFmt w:val="decimal"/>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upperLetter"/>
      <w:start w:val="24"/>
    </w:lvl>
  </w:abstractNum>
  <w:abstractNum w:abstractNumId="48">
    <w:nsid w:val="47398C89"/>
    <w:multiLevelType w:val="hybridMultilevel"/>
    <w:lvl w:ilvl="0">
      <w:lvlJc w:val="left"/>
      <w:lvlText w:val="%1."/>
      <w:numFmt w:val="upperLetter"/>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lvl w:ilvl="1">
      <w:lvlJc w:val="left"/>
      <w:lvlText w:val="%2)"/>
      <w:numFmt w:val="lowerLetter"/>
      <w:start w:val="1"/>
    </w:lvl>
  </w:abstractNum>
  <w:abstractNum w:abstractNumId="51">
    <w:nsid w:val="741226BB"/>
    <w:multiLevelType w:val="hybridMultilevel"/>
    <w:lvl w:ilvl="0">
      <w:lvlJc w:val="left"/>
      <w:lvlText w:val="%1)"/>
      <w:numFmt w:val="decimal"/>
      <w:start w:val="1"/>
    </w:lvl>
    <w:lvl w:ilvl="1">
      <w:lvlJc w:val="left"/>
      <w:lvlText w:val="%2)"/>
      <w:numFmt w:val="lowerLetter"/>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1."/>
      <w:numFmt w:val="decimal"/>
      <w:start w:val="3"/>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6"/>
    </w:lvl>
  </w:abstractNum>
  <w:abstractNum w:abstractNumId="57">
    <w:nsid w:val="77AE35EB"/>
    <w:multiLevelType w:val="hybridMultilevel"/>
    <w:lvl w:ilvl="0">
      <w:lvlJc w:val="left"/>
      <w:lvlText w:val="%1."/>
      <w:numFmt w:val="decimal"/>
      <w:start w:val="4"/>
    </w:lvl>
  </w:abstractNum>
  <w:abstractNum w:abstractNumId="58">
    <w:nsid w:val="579BE4F1"/>
    <w:multiLevelType w:val="hybridMultilevel"/>
    <w:lvl w:ilvl="0">
      <w:lvlJc w:val="left"/>
      <w:lvlText w:val="%1."/>
      <w:numFmt w:val="decimal"/>
      <w:start w:val="5"/>
    </w:lvl>
  </w:abstractNum>
  <w:abstractNum w:abstractNumId="59">
    <w:nsid w:val="310C50B3"/>
    <w:multiLevelType w:val="hybridMultilevel"/>
    <w:lvl w:ilvl="0">
      <w:lvlJc w:val="left"/>
      <w:lvlText w:val="%1."/>
      <w:numFmt w:val="decimal"/>
      <w:start w:val="6"/>
    </w:lvl>
  </w:abstractNum>
  <w:abstractNum w:abstractNumId="60">
    <w:nsid w:val="5FF87E05"/>
    <w:multiLevelType w:val="hybridMultilevel"/>
    <w:lvl w:ilvl="0">
      <w:lvlJc w:val="left"/>
      <w:lvlText w:val="%1."/>
      <w:numFmt w:val="decimal"/>
      <w:start w:val="7"/>
    </w:lvl>
  </w:abstractNum>
  <w:abstractNum w:abstractNumId="61">
    <w:nsid w:val="2F305DEF"/>
    <w:multiLevelType w:val="hybridMultilevel"/>
    <w:lvl w:ilvl="0">
      <w:lvlJc w:val="left"/>
      <w:lvlText w:val="%1."/>
      <w:numFmt w:val="decimal"/>
      <w:start w:val="8"/>
    </w:lvl>
  </w:abstractNum>
  <w:abstractNum w:abstractNumId="62">
    <w:nsid w:val="25A70BF7"/>
    <w:multiLevelType w:val="hybridMultilevel"/>
    <w:lvl w:ilvl="0">
      <w:lvlJc w:val="left"/>
      <w:lvlText w:val="%1."/>
      <w:numFmt w:val="decimal"/>
      <w:start w:val="9"/>
    </w:lvl>
  </w:abstractNum>
  <w:abstractNum w:abstractNumId="63">
    <w:nsid w:val="1DBABF00"/>
    <w:multiLevelType w:val="hybridMultilevel"/>
    <w:lvl w:ilvl="0">
      <w:lvlJc w:val="left"/>
      <w:lvlText w:val="%1."/>
      <w:numFmt w:val="decimal"/>
      <w:start w:val="10"/>
    </w:lvl>
  </w:abstractNum>
  <w:abstractNum w:abstractNumId="64">
    <w:nsid w:val="4AD084E9"/>
    <w:multiLevelType w:val="hybridMultilevel"/>
    <w:lvl w:ilvl="0">
      <w:lvlJc w:val="left"/>
      <w:lvlText w:val="%1."/>
      <w:numFmt w:val="decimal"/>
      <w:start w:val="11"/>
    </w:lvl>
  </w:abstractNum>
  <w:abstractNum w:abstractNumId="65">
    <w:nsid w:val="1F48EAA1"/>
    <w:multiLevelType w:val="hybridMultilevel"/>
    <w:lvl w:ilvl="0">
      <w:lvlJc w:val="left"/>
      <w:lvlText w:val="%1."/>
      <w:numFmt w:val="decimal"/>
      <w:start w:val="12"/>
    </w:lvl>
  </w:abstractNum>
  <w:abstractNum w:abstractNumId="66">
    <w:nsid w:val="1381823A"/>
    <w:multiLevelType w:val="hybridMultilevel"/>
    <w:lvl w:ilvl="0">
      <w:lvlJc w:val="left"/>
      <w:lvlText w:val="%1."/>
      <w:numFmt w:val="decimal"/>
      <w:start w:val="13"/>
    </w:lvl>
  </w:abstractNum>
  <w:abstractNum w:abstractNumId="67">
    <w:nsid w:val="5DB70AE5"/>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93" Type="http://schemas.openxmlformats.org/officeDocument/2006/relationships/hyperlink" Target="https://www.sec.gov/Archives/edgar/data/940942/000095017023038573/hubg-ex3_1.htm" TargetMode="External"/><Relationship Id="rId94" Type="http://schemas.openxmlformats.org/officeDocument/2006/relationships/hyperlink" Target="https://www.sec.gov/Archives/edgar/data/940942/000119312523052061/d398662dex31.htm" TargetMode="External"/><Relationship Id="rId95" Type="http://schemas.openxmlformats.org/officeDocument/2006/relationships/hyperlink" Target="https://www.sec.gov/Archives/edgar/data/940942/000119312514286392/d732570dex102.htm" TargetMode="External"/><Relationship Id="rId96" Type="http://schemas.openxmlformats.org/officeDocument/2006/relationships/hyperlink" Target="https://www.sec.gov/Archives/edgar/data/940942/000094094208000007/executiveretireplanagreement.htm" TargetMode="External"/><Relationship Id="rId97" Type="http://schemas.openxmlformats.org/officeDocument/2006/relationships/hyperlink" Target="https://www.sec.gov/Archives/edgar/data/940942/000117184322001506/exh_101.htm" TargetMode="External"/><Relationship Id="rId98" Type="http://schemas.openxmlformats.org/officeDocument/2006/relationships/hyperlink" Target="https://www.sec.gov/Archives/edgar/data/940942/000162612917000118/hubg-def14a_051017.htm" TargetMode="External"/><Relationship Id="rId99" Type="http://schemas.openxmlformats.org/officeDocument/2006/relationships/hyperlink" Target="https://www.sec.gov/Archives/edgar/data/940942/000114036122014044/ny20003091x1_def14a.htm" TargetMode="External"/><Relationship Id="rId100" Type="http://schemas.openxmlformats.org/officeDocument/2006/relationships/hyperlink" Target="https://www.sec.gov/Archives/edgar/data/940942/000117184317003130/exh_101.htm" TargetMode="External"/><Relationship Id="rId101" Type="http://schemas.openxmlformats.org/officeDocument/2006/relationships/hyperlink" Target="https://www.sec.gov/Archives/edgar/data/940942/000117184317003130/exh_102.htm" TargetMode="External"/><Relationship Id="rId102" Type="http://schemas.openxmlformats.org/officeDocument/2006/relationships/hyperlink" Target="https://www.sec.gov/Archives/edgar/data/940942/000117184318000209/exh_103.htm" TargetMode="External"/><Relationship Id="rId106" Type="http://schemas.openxmlformats.org/officeDocument/2006/relationships/hyperlink" Target="https://www.sec.gov/Archives/edgar/data/940942/000095017024021432/hubg-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2025-02-25T17:25:05Z</dcterms:created>
  <dcterms:modified xsi:type="dcterms:W3CDTF">2025-02-25T17:25:05Z</dcterms:modified>
</cp:coreProperties>
</file>